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028A0EDF"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100</w:t>
      </w:r>
      <w:r w:rsidR="00717748">
        <w:rPr>
          <w:b/>
          <w:noProof/>
          <w:sz w:val="24"/>
        </w:rPr>
        <w:t>-</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717748">
        <w:rPr>
          <w:rFonts w:eastAsia="SimSun" w:cs="Arial"/>
          <w:b/>
          <w:noProof/>
          <w:sz w:val="24"/>
          <w:szCs w:val="24"/>
          <w:lang w:eastAsia="zh-CN"/>
        </w:rPr>
        <w:t>1</w:t>
      </w:r>
      <w:r w:rsidR="008F68FD">
        <w:rPr>
          <w:rFonts w:eastAsia="SimSun" w:cs="Arial"/>
          <w:b/>
          <w:noProof/>
          <w:sz w:val="24"/>
          <w:szCs w:val="24"/>
          <w:lang w:eastAsia="zh-CN"/>
        </w:rPr>
        <w:t>13141</w:t>
      </w:r>
    </w:p>
    <w:p w14:paraId="61C9439E" w14:textId="0C9EBAAB"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8E7061">
        <w:rPr>
          <w:b/>
          <w:noProof/>
          <w:sz w:val="24"/>
        </w:rPr>
        <w:t>August</w:t>
      </w:r>
      <w:r w:rsidR="00673233">
        <w:rPr>
          <w:b/>
          <w:noProof/>
          <w:sz w:val="24"/>
        </w:rPr>
        <w:t xml:space="preserve"> </w:t>
      </w:r>
      <w:r w:rsidR="008E7061">
        <w:rPr>
          <w:b/>
          <w:noProof/>
          <w:sz w:val="24"/>
        </w:rPr>
        <w:t>16</w:t>
      </w:r>
      <w:r w:rsidR="00717748" w:rsidRPr="00717748">
        <w:rPr>
          <w:b/>
          <w:noProof/>
          <w:sz w:val="24"/>
          <w:vertAlign w:val="superscript"/>
        </w:rPr>
        <w:t>th</w:t>
      </w:r>
      <w:r w:rsidR="00717748">
        <w:rPr>
          <w:b/>
          <w:noProof/>
          <w:sz w:val="24"/>
        </w:rPr>
        <w:t xml:space="preserve"> –</w:t>
      </w:r>
      <w:r>
        <w:rPr>
          <w:b/>
          <w:noProof/>
          <w:sz w:val="24"/>
        </w:rPr>
        <w:t xml:space="preserve"> </w:t>
      </w:r>
      <w:r w:rsidR="00717748">
        <w:rPr>
          <w:b/>
          <w:noProof/>
          <w:sz w:val="24"/>
        </w:rPr>
        <w:t>2</w:t>
      </w:r>
      <w:r w:rsidR="004878F9">
        <w:rPr>
          <w:b/>
          <w:noProof/>
          <w:sz w:val="24"/>
        </w:rPr>
        <w:t>7</w:t>
      </w:r>
      <w:r w:rsidR="00717748" w:rsidRPr="00717748">
        <w:rPr>
          <w:b/>
          <w:noProof/>
          <w:sz w:val="24"/>
          <w:vertAlign w:val="superscript"/>
        </w:rPr>
        <w:t>th</w:t>
      </w:r>
      <w:r w:rsidRPr="00B01ACB">
        <w:rPr>
          <w:b/>
          <w:noProof/>
          <w:sz w:val="24"/>
        </w:rPr>
        <w:t>, 202</w:t>
      </w:r>
      <w:r w:rsidR="00BF53FC">
        <w:rPr>
          <w:b/>
          <w:noProof/>
          <w:sz w:val="24"/>
        </w:rPr>
        <w:t>1</w:t>
      </w:r>
    </w:p>
    <w:p w14:paraId="0133FF23" w14:textId="51B35C4E"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7B6AD4" w:rsidRPr="007B6AD4">
        <w:rPr>
          <w:rFonts w:ascii="Arial" w:hAnsi="Arial"/>
          <w:sz w:val="24"/>
          <w:lang w:val="en-US"/>
        </w:rPr>
        <w:t>Discussion on the timing requirements for NR NTN UE</w:t>
      </w:r>
    </w:p>
    <w:p w14:paraId="42CF830F" w14:textId="7240C2DA" w:rsidR="0037119B" w:rsidRPr="00492450" w:rsidRDefault="0037119B" w:rsidP="000F698D">
      <w:pPr>
        <w:tabs>
          <w:tab w:val="left" w:pos="1985"/>
        </w:tabs>
        <w:ind w:left="1990" w:hangingChars="826" w:hanging="1990"/>
        <w:rPr>
          <w:rStyle w:val="a4"/>
          <w:lang w:val="fr-FR"/>
        </w:rPr>
      </w:pPr>
      <w:proofErr w:type="gramStart"/>
      <w:r w:rsidRPr="00492450">
        <w:rPr>
          <w:rFonts w:ascii="Arial" w:hAnsi="Arial"/>
          <w:b/>
          <w:sz w:val="24"/>
          <w:lang w:val="fr-FR"/>
        </w:rPr>
        <w:t>Source:</w:t>
      </w:r>
      <w:proofErr w:type="gramEnd"/>
      <w:r w:rsidRPr="00492450">
        <w:rPr>
          <w:rFonts w:ascii="Arial" w:hAnsi="Arial"/>
          <w:b/>
          <w:sz w:val="24"/>
          <w:lang w:val="fr-FR"/>
        </w:rPr>
        <w:t xml:space="preserv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00EFE8ED"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8E7061">
        <w:rPr>
          <w:rFonts w:ascii="Arial" w:hAnsi="Arial"/>
          <w:sz w:val="24"/>
          <w:lang w:val="pt-BR"/>
        </w:rPr>
        <w:t>9.13.5.</w:t>
      </w:r>
      <w:r w:rsidR="007B6AD4">
        <w:rPr>
          <w:rFonts w:ascii="Arial" w:hAnsi="Arial"/>
          <w:sz w:val="24"/>
          <w:lang w:val="pt-BR"/>
        </w:rPr>
        <w:t>4</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7C8E6AD3" w14:textId="484A19C0" w:rsidR="00ED4790" w:rsidRDefault="00ED4790" w:rsidP="000678DD">
      <w:pPr>
        <w:rPr>
          <w:lang w:val="en-US" w:eastAsia="zh-CN"/>
        </w:rPr>
      </w:pPr>
      <w:r>
        <w:rPr>
          <w:lang w:val="en-US" w:eastAsia="zh-CN"/>
        </w:rPr>
        <w:t xml:space="preserve">In the previous RAN4 WG meeting, WF [1] was agreed capturing group consensus on the timing requirements for NR NTN UEs. </w:t>
      </w:r>
      <w:r w:rsidR="00375DC6">
        <w:rPr>
          <w:lang w:val="en-US" w:eastAsia="zh-CN"/>
        </w:rPr>
        <w:t xml:space="preserve">The agreed WF also </w:t>
      </w:r>
      <w:r>
        <w:rPr>
          <w:lang w:val="en-US" w:eastAsia="zh-CN"/>
        </w:rPr>
        <w:t xml:space="preserve">shows </w:t>
      </w:r>
      <w:r w:rsidR="007B6AD4">
        <w:rPr>
          <w:lang w:val="en-US" w:eastAsia="zh-CN"/>
        </w:rPr>
        <w:t>the options under each sub-topic</w:t>
      </w:r>
      <w:r>
        <w:rPr>
          <w:lang w:val="en-US" w:eastAsia="zh-CN"/>
        </w:rPr>
        <w:t xml:space="preserve"> regarding how to define RRM requirements for NR NTN UE timing.</w:t>
      </w:r>
    </w:p>
    <w:p w14:paraId="1D0AA22D" w14:textId="77777777" w:rsidR="00891B62" w:rsidRDefault="00891B62" w:rsidP="00891B62">
      <w:pPr>
        <w:rPr>
          <w:lang w:val="en-US" w:eastAsia="zh-CN"/>
        </w:rPr>
      </w:pPr>
      <w:bookmarkStart w:id="1" w:name="OLE_LINK1"/>
      <w:bookmarkStart w:id="2" w:name="OLE_LINK2"/>
      <w:r>
        <w:rPr>
          <w:lang w:val="en-US" w:eastAsia="zh-CN"/>
        </w:rPr>
        <w:t xml:space="preserve">In this paper we analyze the UE timing operations based on the assumption that the reference point for system timing procedures lies somewhere between the satellite and the </w:t>
      </w:r>
      <w:proofErr w:type="spellStart"/>
      <w:r>
        <w:rPr>
          <w:lang w:val="en-US" w:eastAsia="zh-CN"/>
        </w:rPr>
        <w:t>gNB</w:t>
      </w:r>
      <w:proofErr w:type="spellEnd"/>
      <w:r>
        <w:rPr>
          <w:lang w:val="en-US" w:eastAsia="zh-CN"/>
        </w:rPr>
        <w:t xml:space="preserve"> (network implementation). Under such circumstances, the UE make use of the estimated UE specific TA and the configured common TA from network to derive UL timing. In RAN4, we consider timing requirements for all related timing procedures and it is proposed that we should specify dedicated timing requirements for UE specific TA estimation and update, and the corresponding timing adjustment procedure.</w:t>
      </w:r>
    </w:p>
    <w:p w14:paraId="37EAFFD4" w14:textId="77777777" w:rsidR="00040A4B" w:rsidRDefault="00040A4B" w:rsidP="002A4079">
      <w:pPr>
        <w:pStyle w:val="Heading1"/>
        <w:rPr>
          <w:rFonts w:eastAsia="SimSun"/>
          <w:lang w:eastAsia="zh-CN"/>
        </w:rPr>
      </w:pPr>
      <w:r>
        <w:rPr>
          <w:rFonts w:eastAsia="SimSun"/>
          <w:lang w:eastAsia="zh-CN"/>
        </w:rPr>
        <w:t>Discussion</w:t>
      </w:r>
    </w:p>
    <w:p w14:paraId="4D654500" w14:textId="5686DEC1" w:rsidR="002A4079" w:rsidRDefault="005D7E25" w:rsidP="00040A4B">
      <w:pPr>
        <w:pStyle w:val="Heading2"/>
        <w:rPr>
          <w:lang w:eastAsia="zh-CN"/>
        </w:rPr>
      </w:pPr>
      <w:r>
        <w:rPr>
          <w:lang w:eastAsia="zh-CN"/>
        </w:rPr>
        <w:t>UE UL timing in NR NTN systems</w:t>
      </w:r>
      <w:r w:rsidR="006158E7">
        <w:rPr>
          <w:lang w:eastAsia="zh-CN"/>
        </w:rPr>
        <w:t xml:space="preserve"> </w:t>
      </w:r>
    </w:p>
    <w:bookmarkEnd w:id="0"/>
    <w:bookmarkEnd w:id="1"/>
    <w:bookmarkEnd w:id="2"/>
    <w:p w14:paraId="12CA1532" w14:textId="4C795BAD" w:rsidR="005D7E25" w:rsidRDefault="005D7E25" w:rsidP="00BA46DF">
      <w:pPr>
        <w:rPr>
          <w:lang w:eastAsia="zh-CN"/>
        </w:rPr>
      </w:pPr>
      <w:r>
        <w:rPr>
          <w:lang w:eastAsia="zh-CN"/>
        </w:rPr>
        <w:t xml:space="preserve">RAN1 discussed the methods </w:t>
      </w:r>
      <w:r w:rsidRPr="00883432">
        <w:rPr>
          <w:i/>
          <w:iCs/>
          <w:lang w:eastAsia="zh-CN"/>
        </w:rPr>
        <w:t>for UE to update its TA so that it derives the UL timing correctly</w:t>
      </w:r>
      <w:r>
        <w:rPr>
          <w:lang w:eastAsia="zh-CN"/>
        </w:rPr>
        <w:t xml:space="preserve"> extensively in the previous meetings and formed quite wide-spread consensus among companies that the UE should derive its UL transmit timing according to the below function or something alike:</w:t>
      </w:r>
    </w:p>
    <w:p w14:paraId="59D412BD" w14:textId="77777777" w:rsidR="005D7E25" w:rsidRDefault="00EF19FF" w:rsidP="005D7E25">
      <w:pPr>
        <w:rPr>
          <w:rFonts w:eastAsia="PMingLiU"/>
          <w:lang w:val="en-US"/>
        </w:rPr>
      </w:pPr>
      <m:oMathPara>
        <m:oMath>
          <m:sSub>
            <m:sSubPr>
              <m:ctrlPr>
                <w:rPr>
                  <w:rFonts w:ascii="Cambria Math" w:hAnsi="Cambria Math"/>
                  <w:b/>
                  <w:i/>
                </w:rPr>
              </m:ctrlPr>
            </m:sSubPr>
            <m:e>
              <m:r>
                <m:rPr>
                  <m:sty m:val="bi"/>
                </m:rPr>
                <w:rPr>
                  <w:rFonts w:ascii="Cambria Math" w:hAnsi="Cambria Math"/>
                  <w:szCs w:val="18"/>
                </w:rPr>
                <m:t>T</m:t>
              </m:r>
            </m:e>
            <m:sub>
              <m:r>
                <m:rPr>
                  <m:sty m:val="bi"/>
                </m:rPr>
                <w:rPr>
                  <w:rFonts w:ascii="Cambria Math" w:hAnsi="Cambria Math"/>
                  <w:szCs w:val="18"/>
                </w:rPr>
                <m:t>TA</m:t>
              </m:r>
            </m:sub>
          </m:sSub>
          <m:r>
            <m:rPr>
              <m:sty m:val="bi"/>
            </m:rPr>
            <w:rPr>
              <w:rFonts w:ascii="Cambria Math" w:hAnsi="Cambria Math"/>
              <w:szCs w:val="18"/>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m:t>
                  </m:r>
                </m:sub>
              </m:sSub>
              <m:r>
                <m:rPr>
                  <m:sty m:val="bi"/>
                </m:rPr>
                <w:rPr>
                  <w:rFonts w:ascii="Cambria Math" w:hAnsi="Cambria Math"/>
                  <w:szCs w:val="18"/>
                </w:rPr>
                <m:t>+</m:t>
              </m:r>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TA,UE-specific</m:t>
                  </m:r>
                </m:sub>
              </m:sSub>
              <m:r>
                <m:rPr>
                  <m:sty m:val="bi"/>
                </m:rPr>
                <w:rPr>
                  <w:rFonts w:ascii="Cambria Math" w:hAnsi="Cambria Math"/>
                  <w:szCs w:val="18"/>
                </w:rPr>
                <m:t>+</m:t>
              </m:r>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TA,common</m:t>
                  </m:r>
                </m:sub>
              </m:sSub>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TA,offset</m:t>
                  </m:r>
                </m:sub>
              </m:sSub>
            </m:e>
          </m:d>
          <m:r>
            <m:rPr>
              <m:sty m:val="bi"/>
            </m:rPr>
            <w:rPr>
              <w:rFonts w:ascii="Cambria Math" w:hAnsi="Cambria Math"/>
              <w:szCs w:val="18"/>
            </w:rPr>
            <m:t>×</m:t>
          </m:r>
          <m:sSub>
            <m:sSubPr>
              <m:ctrlPr>
                <w:rPr>
                  <w:rFonts w:ascii="Cambria Math" w:hAnsi="Cambria Math"/>
                  <w:b/>
                  <w:i/>
                </w:rPr>
              </m:ctrlPr>
            </m:sSubPr>
            <m:e>
              <m:r>
                <m:rPr>
                  <m:sty m:val="bi"/>
                </m:rPr>
                <w:rPr>
                  <w:rFonts w:ascii="Cambria Math" w:hAnsi="Cambria Math"/>
                  <w:szCs w:val="18"/>
                </w:rPr>
                <m:t>T</m:t>
              </m:r>
            </m:e>
            <m:sub>
              <m:r>
                <m:rPr>
                  <m:sty m:val="bi"/>
                </m:rPr>
                <w:rPr>
                  <w:rFonts w:ascii="Cambria Math" w:hAnsi="Cambria Math"/>
                  <w:szCs w:val="18"/>
                </w:rPr>
                <m:t>c</m:t>
              </m:r>
            </m:sub>
          </m:sSub>
        </m:oMath>
      </m:oMathPara>
    </w:p>
    <w:p w14:paraId="33C7E4DD" w14:textId="195110A5" w:rsidR="005D7E25" w:rsidRDefault="005D7E25" w:rsidP="00BA46DF">
      <w:pPr>
        <w:rPr>
          <w:bCs/>
        </w:rPr>
      </w:pPr>
      <w:r>
        <w:rPr>
          <w:lang w:eastAsia="zh-CN"/>
        </w:rPr>
        <w:t xml:space="preserve">Where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00883432">
        <w:rPr>
          <w:b/>
        </w:rPr>
        <w:t xml:space="preserve"> </w:t>
      </w:r>
      <w:r w:rsidR="00883432">
        <w:rPr>
          <w:bCs/>
        </w:rPr>
        <w:t xml:space="preserve">is common TA configured from the network to inform UE the feeder link RTT after </w:t>
      </w:r>
      <w:proofErr w:type="spellStart"/>
      <w:r w:rsidR="00883432">
        <w:rPr>
          <w:bCs/>
        </w:rPr>
        <w:t>gNB</w:t>
      </w:r>
      <w:proofErr w:type="spellEnd"/>
      <w:r w:rsidR="00883432">
        <w:rPr>
          <w:bCs/>
        </w:rPr>
        <w:t xml:space="preserve"> compensation from the reference point; </w:t>
      </w:r>
      <m:oMath>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TA,UE-specific</m:t>
            </m:r>
          </m:sub>
        </m:sSub>
      </m:oMath>
      <w:r w:rsidR="00883432">
        <w:rPr>
          <w:b/>
        </w:rPr>
        <w:t xml:space="preserve"> </w:t>
      </w:r>
      <w:r w:rsidR="00883432">
        <w:rPr>
          <w:bCs/>
        </w:rPr>
        <w:t xml:space="preserve">is the </w:t>
      </w:r>
      <w:r w:rsidR="00FC71E9">
        <w:rPr>
          <w:bCs/>
        </w:rPr>
        <w:t xml:space="preserve">UE specific </w:t>
      </w:r>
      <w:r w:rsidR="00883432">
        <w:rPr>
          <w:bCs/>
        </w:rPr>
        <w:t>TA for the service link</w:t>
      </w:r>
      <w:r w:rsidR="00FC71E9">
        <w:rPr>
          <w:bCs/>
        </w:rPr>
        <w:t xml:space="preserve"> estimated</w:t>
      </w:r>
      <w:r w:rsidR="00883432">
        <w:rPr>
          <w:bCs/>
        </w:rPr>
        <w:t xml:space="preserve"> </w:t>
      </w:r>
      <w:r w:rsidR="00FC71E9">
        <w:rPr>
          <w:bCs/>
        </w:rPr>
        <w:t>by</w:t>
      </w:r>
      <w:r w:rsidR="00883432">
        <w:rPr>
          <w:bCs/>
        </w:rPr>
        <w:t xml:space="preserve"> UE itself based on at least </w:t>
      </w:r>
      <w:r w:rsidR="0072745C">
        <w:rPr>
          <w:bCs/>
        </w:rPr>
        <w:t>GNSS-based UE</w:t>
      </w:r>
      <w:r w:rsidR="00883432">
        <w:rPr>
          <w:bCs/>
        </w:rPr>
        <w:t xml:space="preserve"> position and </w:t>
      </w:r>
      <w:r w:rsidR="0072745C">
        <w:rPr>
          <w:bCs/>
        </w:rPr>
        <w:t xml:space="preserve">satellite </w:t>
      </w:r>
      <w:r w:rsidR="00883432">
        <w:rPr>
          <w:bCs/>
        </w:rPr>
        <w:t xml:space="preserve">ephemeris information; </w:t>
      </w:r>
      <m:oMath>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m:t>
            </m:r>
          </m:sub>
        </m:sSub>
        <m:sSub>
          <m:sSubPr>
            <m:ctrlPr>
              <w:rPr>
                <w:rFonts w:ascii="Cambria Math" w:hAnsi="Cambria Math"/>
                <w:b/>
                <w:i/>
              </w:rPr>
            </m:ctrlPr>
          </m:sSubPr>
          <m:e>
            <m:r>
              <m:rPr>
                <m:sty m:val="bi"/>
              </m:rPr>
              <w:rPr>
                <w:rFonts w:ascii="Cambria Math" w:hAnsi="Cambria Math"/>
                <w:szCs w:val="18"/>
              </w:rPr>
              <m:t>+N</m:t>
            </m:r>
          </m:e>
          <m:sub>
            <m:r>
              <m:rPr>
                <m:sty m:val="bi"/>
              </m:rPr>
              <w:rPr>
                <w:rFonts w:ascii="Cambria Math" w:hAnsi="Cambria Math"/>
                <w:szCs w:val="18"/>
              </w:rPr>
              <m:t>TA,offset</m:t>
            </m:r>
          </m:sub>
        </m:sSub>
      </m:oMath>
      <w:r w:rsidR="00883432">
        <w:rPr>
          <w:b/>
        </w:rPr>
        <w:t xml:space="preserve"> </w:t>
      </w:r>
      <w:r w:rsidR="00883432">
        <w:rPr>
          <w:bCs/>
        </w:rPr>
        <w:t>reuses the existing mechanism from R15. Note that this function applies to both open and close loop TA updates.</w:t>
      </w:r>
    </w:p>
    <w:p w14:paraId="0FF8A259" w14:textId="77777777" w:rsidR="0072745C" w:rsidRDefault="00883432" w:rsidP="00BA46DF">
      <w:pPr>
        <w:rPr>
          <w:bCs/>
        </w:rPr>
      </w:pPr>
      <w:r>
        <w:rPr>
          <w:bCs/>
        </w:rPr>
        <w:t>In accordance to the above elaboration, RAN4 needs to define corresponding UL timing requirements and eventually specify the test requirements to guarantee fair UE timing accuracy performance and further, guarantee fair system demodulation performance. In general, the UE derives the part of the TA that covers the propagation from itself to the satellite</w:t>
      </w:r>
      <w:r w:rsidR="00DC64FD">
        <w:rPr>
          <w:bCs/>
        </w:rPr>
        <w:t xml:space="preserve"> while the network figures out the other half of the propagation and inform the UE by common TA</w:t>
      </w:r>
      <w:r w:rsidR="0072745C">
        <w:rPr>
          <w:bCs/>
        </w:rPr>
        <w:t xml:space="preserve"> (after compensation)</w:t>
      </w:r>
      <w:r w:rsidR="00DC64FD">
        <w:rPr>
          <w:bCs/>
        </w:rPr>
        <w:t xml:space="preserve">. </w:t>
      </w:r>
    </w:p>
    <w:p w14:paraId="0E617CA1" w14:textId="41A46002" w:rsidR="00DC64FD" w:rsidRDefault="00DC64FD" w:rsidP="00BA46DF">
      <w:pPr>
        <w:rPr>
          <w:bCs/>
        </w:rPr>
      </w:pPr>
      <w:r>
        <w:rPr>
          <w:bCs/>
        </w:rPr>
        <w:t xml:space="preserve">Specifically, each part of this UL timing procedure that needs dedicated UE operation needs RRM requirements. In the </w:t>
      </w:r>
      <w:r w:rsidR="007B6AD4">
        <w:rPr>
          <w:bCs/>
        </w:rPr>
        <w:t>previous</w:t>
      </w:r>
      <w:r>
        <w:rPr>
          <w:bCs/>
        </w:rPr>
        <w:t xml:space="preserve"> RAN4 meeting</w:t>
      </w:r>
      <w:r w:rsidR="007B6AD4">
        <w:rPr>
          <w:bCs/>
        </w:rPr>
        <w:t>s</w:t>
      </w:r>
      <w:r>
        <w:rPr>
          <w:bCs/>
        </w:rPr>
        <w:t xml:space="preserve">, agreements for possible RRM timing requirements have been initially identified and there are already discussions and proposals on </w:t>
      </w:r>
      <w:r w:rsidR="00C972C5">
        <w:rPr>
          <w:bCs/>
        </w:rPr>
        <w:t>whether to introduce</w:t>
      </w:r>
      <w:r>
        <w:rPr>
          <w:bCs/>
        </w:rPr>
        <w:t xml:space="preserve"> </w:t>
      </w:r>
      <w:r w:rsidR="00C972C5">
        <w:rPr>
          <w:bCs/>
        </w:rPr>
        <w:t>dedicated</w:t>
      </w:r>
      <w:r>
        <w:rPr>
          <w:bCs/>
        </w:rPr>
        <w:t xml:space="preserve"> TA estimated accuracy/error for the abovementioned requirements.</w:t>
      </w:r>
      <w:r w:rsidR="0072745C">
        <w:rPr>
          <w:bCs/>
        </w:rPr>
        <w:t xml:space="preserve"> </w:t>
      </w:r>
    </w:p>
    <w:tbl>
      <w:tblPr>
        <w:tblStyle w:val="TableGrid"/>
        <w:tblW w:w="0" w:type="auto"/>
        <w:tblLook w:val="04A0" w:firstRow="1" w:lastRow="0" w:firstColumn="1" w:lastColumn="0" w:noHBand="0" w:noVBand="1"/>
      </w:tblPr>
      <w:tblGrid>
        <w:gridCol w:w="10457"/>
      </w:tblGrid>
      <w:tr w:rsidR="0072745C" w14:paraId="6CFAAEE3" w14:textId="77777777" w:rsidTr="005E5478">
        <w:tc>
          <w:tcPr>
            <w:tcW w:w="10457" w:type="dxa"/>
          </w:tcPr>
          <w:p w14:paraId="540A23C6" w14:textId="3C60B76E" w:rsidR="007B6AD4" w:rsidRDefault="007B6AD4" w:rsidP="007B6AD4">
            <w:pPr>
              <w:adjustRightInd w:val="0"/>
              <w:snapToGrid w:val="0"/>
              <w:spacing w:after="120"/>
              <w:rPr>
                <w:lang w:val="en-US" w:eastAsia="zh-CN"/>
              </w:rPr>
            </w:pPr>
            <w:r>
              <w:rPr>
                <w:lang w:val="en-US" w:eastAsia="zh-CN"/>
              </w:rPr>
              <w:t>RAN4#98bis-e</w:t>
            </w:r>
          </w:p>
          <w:p w14:paraId="780AC53D" w14:textId="72E19B27" w:rsidR="00C972C5" w:rsidRPr="00572922" w:rsidRDefault="00C972C5" w:rsidP="00C972C5">
            <w:pPr>
              <w:numPr>
                <w:ilvl w:val="0"/>
                <w:numId w:val="37"/>
              </w:numPr>
              <w:adjustRightInd w:val="0"/>
              <w:snapToGrid w:val="0"/>
              <w:spacing w:after="120"/>
              <w:rPr>
                <w:lang w:val="en-US" w:eastAsia="zh-CN"/>
              </w:rPr>
            </w:pPr>
            <w:r w:rsidRPr="00572922">
              <w:rPr>
                <w:lang w:val="en-US" w:eastAsia="zh-CN"/>
              </w:rPr>
              <w:t>The UE specific TA estimation accuracy is counted into the UE transmit timing error requirement</w:t>
            </w:r>
          </w:p>
          <w:p w14:paraId="503DA7F3" w14:textId="77777777" w:rsidR="00C972C5" w:rsidRPr="00572922" w:rsidRDefault="00C972C5" w:rsidP="00C972C5">
            <w:pPr>
              <w:numPr>
                <w:ilvl w:val="1"/>
                <w:numId w:val="37"/>
              </w:numPr>
              <w:adjustRightInd w:val="0"/>
              <w:snapToGrid w:val="0"/>
              <w:spacing w:after="120"/>
              <w:rPr>
                <w:lang w:val="en-US" w:eastAsia="zh-CN"/>
              </w:rPr>
            </w:pPr>
            <w:r w:rsidRPr="00572922">
              <w:rPr>
                <w:lang w:val="en-US" w:eastAsia="zh-CN"/>
              </w:rPr>
              <w:t>UE specific TA estimation accuracy is FFS</w:t>
            </w:r>
          </w:p>
          <w:p w14:paraId="6860F99B" w14:textId="77777777" w:rsidR="00C972C5" w:rsidRPr="00572922" w:rsidRDefault="00C972C5" w:rsidP="00C972C5">
            <w:pPr>
              <w:numPr>
                <w:ilvl w:val="1"/>
                <w:numId w:val="37"/>
              </w:numPr>
              <w:adjustRightInd w:val="0"/>
              <w:snapToGrid w:val="0"/>
              <w:spacing w:after="120"/>
              <w:rPr>
                <w:lang w:val="en-US" w:eastAsia="zh-CN"/>
              </w:rPr>
            </w:pPr>
            <w:r w:rsidRPr="00572922">
              <w:rPr>
                <w:lang w:val="en-US" w:eastAsia="zh-CN"/>
              </w:rPr>
              <w:t>FFS whether the UE specific TA estimation accuracy shall be also defined as a separate accuracy requirement</w:t>
            </w:r>
          </w:p>
          <w:p w14:paraId="6B549176" w14:textId="77777777" w:rsidR="00C972C5" w:rsidRPr="00572922" w:rsidRDefault="00C972C5" w:rsidP="00C972C5">
            <w:pPr>
              <w:numPr>
                <w:ilvl w:val="1"/>
                <w:numId w:val="37"/>
              </w:numPr>
              <w:adjustRightInd w:val="0"/>
              <w:snapToGrid w:val="0"/>
              <w:spacing w:after="120"/>
              <w:rPr>
                <w:lang w:val="en-US" w:eastAsia="zh-CN"/>
              </w:rPr>
            </w:pPr>
            <w:r w:rsidRPr="00572922">
              <w:rPr>
                <w:lang w:val="en-US" w:eastAsia="zh-CN"/>
              </w:rPr>
              <w:t>Specify UE behavior related to UE specific TA estimation and the detailed behavior is FFS</w:t>
            </w:r>
          </w:p>
          <w:p w14:paraId="0DD19A78" w14:textId="77777777" w:rsidR="0072745C" w:rsidRPr="007B6AD4" w:rsidRDefault="00572922" w:rsidP="00C972C5">
            <w:pPr>
              <w:numPr>
                <w:ilvl w:val="0"/>
                <w:numId w:val="37"/>
              </w:numPr>
              <w:adjustRightInd w:val="0"/>
              <w:snapToGrid w:val="0"/>
              <w:spacing w:after="120"/>
              <w:rPr>
                <w:lang w:val="en-US" w:eastAsia="zh-CN"/>
              </w:rPr>
            </w:pPr>
            <w:r w:rsidRPr="00572922">
              <w:rPr>
                <w:rFonts w:hint="eastAsia"/>
                <w:lang w:eastAsia="zh-CN"/>
              </w:rPr>
              <w:t>FFS on the update periodicity of UE specific TA value</w:t>
            </w:r>
          </w:p>
          <w:p w14:paraId="250F3615" w14:textId="09534389" w:rsidR="007B6AD4" w:rsidRPr="007B6AD4" w:rsidRDefault="007B6AD4" w:rsidP="007B6AD4">
            <w:pPr>
              <w:adjustRightInd w:val="0"/>
              <w:snapToGrid w:val="0"/>
              <w:spacing w:after="120"/>
              <w:rPr>
                <w:rFonts w:hint="eastAsia"/>
                <w:lang w:val="en-US" w:eastAsia="zh-CN"/>
              </w:rPr>
            </w:pPr>
            <w:r>
              <w:rPr>
                <w:lang w:val="en-US" w:eastAsia="zh-CN"/>
              </w:rPr>
              <w:t>RAN4#99-e</w:t>
            </w:r>
            <w:r w:rsidR="00091B4B">
              <w:rPr>
                <w:lang w:val="en-US" w:eastAsia="zh-CN"/>
              </w:rPr>
              <w:t xml:space="preserve"> </w:t>
            </w:r>
            <w:r w:rsidR="00091B4B">
              <w:rPr>
                <w:rFonts w:hint="eastAsia"/>
                <w:lang w:val="en-US" w:eastAsia="zh-CN"/>
              </w:rPr>
              <w:t>a</w:t>
            </w:r>
            <w:r w:rsidR="00091B4B">
              <w:rPr>
                <w:lang w:val="en-US" w:eastAsia="zh-CN"/>
              </w:rPr>
              <w:t>nd RAN4#100-e</w:t>
            </w:r>
          </w:p>
          <w:p w14:paraId="134F86FF" w14:textId="6569C09D" w:rsidR="007B6AD4" w:rsidRPr="00C972C5" w:rsidRDefault="007B6AD4" w:rsidP="00C972C5">
            <w:pPr>
              <w:numPr>
                <w:ilvl w:val="0"/>
                <w:numId w:val="37"/>
              </w:numPr>
              <w:adjustRightInd w:val="0"/>
              <w:snapToGrid w:val="0"/>
              <w:spacing w:after="120"/>
              <w:rPr>
                <w:lang w:val="en-US" w:eastAsia="zh-CN"/>
              </w:rPr>
            </w:pPr>
            <w:r w:rsidRPr="007B6AD4">
              <w:rPr>
                <w:rFonts w:hint="eastAsia"/>
                <w:lang w:eastAsia="zh-CN"/>
              </w:rPr>
              <w:t>Wait RAN1/RAN2 conclusions on UE specific TA pre-compensation reporting to determine whether we need to define separate UE specific TA estimation requirement or not</w:t>
            </w:r>
          </w:p>
        </w:tc>
      </w:tr>
    </w:tbl>
    <w:p w14:paraId="0181C55E" w14:textId="31FC1F0B" w:rsidR="003B2471" w:rsidRDefault="003B2471" w:rsidP="00BA46DF">
      <w:pPr>
        <w:rPr>
          <w:bCs/>
          <w:lang w:val="en-US"/>
        </w:rPr>
      </w:pPr>
      <w:r>
        <w:rPr>
          <w:bCs/>
          <w:lang w:val="en-US"/>
        </w:rPr>
        <w:t xml:space="preserve">Meanwhile in </w:t>
      </w:r>
      <w:r w:rsidR="00D5545A">
        <w:rPr>
          <w:bCs/>
          <w:lang w:val="en-US"/>
        </w:rPr>
        <w:t>previous</w:t>
      </w:r>
      <w:r>
        <w:rPr>
          <w:bCs/>
          <w:lang w:val="en-US"/>
        </w:rPr>
        <w:t xml:space="preserve"> RAN1 meeting, agreements regarding UE derived RTT time were approved and an LS was sent to RAN2 to inform them so that they can carry on signaling work following the agreements. The LS is in [2] and the agreements are copied in the below box.</w:t>
      </w:r>
    </w:p>
    <w:tbl>
      <w:tblPr>
        <w:tblStyle w:val="TableGrid"/>
        <w:tblW w:w="0" w:type="auto"/>
        <w:tblLook w:val="04A0" w:firstRow="1" w:lastRow="0" w:firstColumn="1" w:lastColumn="0" w:noHBand="0" w:noVBand="1"/>
      </w:tblPr>
      <w:tblGrid>
        <w:gridCol w:w="10457"/>
      </w:tblGrid>
      <w:tr w:rsidR="003B2471" w14:paraId="1560D357" w14:textId="77777777" w:rsidTr="003B2471">
        <w:tc>
          <w:tcPr>
            <w:tcW w:w="10457" w:type="dxa"/>
          </w:tcPr>
          <w:p w14:paraId="45C44094" w14:textId="77777777" w:rsidR="003B2471" w:rsidRDefault="003B2471" w:rsidP="003B2471">
            <w:pPr>
              <w:shd w:val="clear" w:color="auto" w:fill="FFFFFF"/>
              <w:spacing w:line="315" w:lineRule="atLeast"/>
              <w:rPr>
                <w:rFonts w:ascii="Times New Roman" w:hAnsi="Times New Roman"/>
                <w:color w:val="000000"/>
                <w:lang w:val="en-US" w:eastAsia="zh-CN"/>
              </w:rPr>
            </w:pPr>
            <w:r>
              <w:rPr>
                <w:rFonts w:ascii="Times New Roman" w:hAnsi="Times New Roman"/>
                <w:b/>
                <w:bCs/>
                <w:color w:val="000000"/>
              </w:rPr>
              <w:lastRenderedPageBreak/>
              <w:t>RAN2 Q2</w:t>
            </w:r>
            <w:r>
              <w:rPr>
                <w:rFonts w:ascii="Times New Roman" w:hAnsi="Times New Roman"/>
                <w:color w:val="000000"/>
              </w:rPr>
              <w:t>: RAN2 respectfully requests RAN1 to provide input on: (</w:t>
            </w:r>
            <w:proofErr w:type="spellStart"/>
            <w:r>
              <w:rPr>
                <w:rFonts w:ascii="Times New Roman" w:hAnsi="Times New Roman"/>
                <w:color w:val="000000"/>
              </w:rPr>
              <w:t>i</w:t>
            </w:r>
            <w:proofErr w:type="spellEnd"/>
            <w:r>
              <w:rPr>
                <w:rFonts w:ascii="Times New Roman" w:hAnsi="Times New Roman"/>
                <w:color w:val="000000"/>
              </w:rPr>
              <w:t>) how UE determines UE-</w:t>
            </w:r>
            <w:proofErr w:type="spellStart"/>
            <w:r>
              <w:rPr>
                <w:rFonts w:ascii="Times New Roman" w:hAnsi="Times New Roman"/>
                <w:color w:val="000000"/>
              </w:rPr>
              <w:t>gNB</w:t>
            </w:r>
            <w:proofErr w:type="spellEnd"/>
            <w:r>
              <w:rPr>
                <w:rFonts w:ascii="Times New Roman" w:hAnsi="Times New Roman"/>
                <w:color w:val="000000"/>
              </w:rPr>
              <w:t xml:space="preserve"> RTT, and (ii) what additional information needs to be broadcasted other than that for TA pre-compensation, if any.</w:t>
            </w:r>
          </w:p>
          <w:p w14:paraId="14EE406A" w14:textId="77777777" w:rsidR="003B2471" w:rsidRDefault="003B2471" w:rsidP="003B2471">
            <w:pPr>
              <w:shd w:val="clear" w:color="auto" w:fill="FFFFFF"/>
              <w:spacing w:line="315" w:lineRule="atLeast"/>
              <w:rPr>
                <w:rFonts w:ascii="Times New Roman" w:hAnsi="Times New Roman"/>
                <w:color w:val="000000"/>
              </w:rPr>
            </w:pPr>
            <w:r>
              <w:rPr>
                <w:rFonts w:ascii="Times New Roman" w:hAnsi="Times New Roman"/>
                <w:b/>
                <w:bCs/>
                <w:color w:val="000000"/>
              </w:rPr>
              <w:t>RAN1 answer</w:t>
            </w:r>
            <w:r>
              <w:rPr>
                <w:rFonts w:ascii="Times New Roman" w:hAnsi="Times New Roman"/>
                <w:color w:val="000000"/>
              </w:rPr>
              <w:t>: In RAN1#105-e meeting, RAN1 reached the following agreement on UE-</w:t>
            </w:r>
            <w:proofErr w:type="spellStart"/>
            <w:r>
              <w:rPr>
                <w:rFonts w:ascii="Times New Roman" w:hAnsi="Times New Roman"/>
                <w:color w:val="000000"/>
              </w:rPr>
              <w:t>gNB</w:t>
            </w:r>
            <w:proofErr w:type="spellEnd"/>
            <w:r>
              <w:rPr>
                <w:rFonts w:ascii="Times New Roman" w:hAnsi="Times New Roman"/>
                <w:color w:val="000000"/>
              </w:rPr>
              <w:t xml:space="preserve"> RTT determination, which is used to delay the starts of </w:t>
            </w:r>
            <w:proofErr w:type="spellStart"/>
            <w:r>
              <w:rPr>
                <w:rFonts w:ascii="Times New Roman" w:hAnsi="Times New Roman"/>
                <w:color w:val="000000"/>
              </w:rPr>
              <w:t>ra-ResponseWindow</w:t>
            </w:r>
            <w:proofErr w:type="spellEnd"/>
            <w:r>
              <w:rPr>
                <w:rFonts w:ascii="Times New Roman" w:hAnsi="Times New Roman"/>
                <w:color w:val="000000"/>
              </w:rPr>
              <w:t xml:space="preserve"> and </w:t>
            </w:r>
            <w:proofErr w:type="spellStart"/>
            <w:r>
              <w:rPr>
                <w:rFonts w:ascii="Times New Roman" w:hAnsi="Times New Roman"/>
                <w:color w:val="000000"/>
              </w:rPr>
              <w:t>msgB-ResponseWindow</w:t>
            </w:r>
            <w:proofErr w:type="spellEnd"/>
            <w:r>
              <w:rPr>
                <w:rFonts w:ascii="Times New Roman" w:hAnsi="Times New Roman"/>
                <w:color w:val="000000"/>
              </w:rPr>
              <w:t>. The UE-</w:t>
            </w:r>
            <w:proofErr w:type="spellStart"/>
            <w:r>
              <w:rPr>
                <w:rFonts w:ascii="Times New Roman" w:hAnsi="Times New Roman"/>
                <w:color w:val="000000"/>
              </w:rPr>
              <w:t>gNB</w:t>
            </w:r>
            <w:proofErr w:type="spellEnd"/>
            <w:r>
              <w:rPr>
                <w:rFonts w:ascii="Times New Roman" w:hAnsi="Times New Roman"/>
                <w:color w:val="000000"/>
              </w:rPr>
              <w:t xml:space="preserve"> RTT is estimated according to the UE's TA and </w:t>
            </w:r>
            <w:proofErr w:type="spellStart"/>
            <w:r>
              <w:rPr>
                <w:rFonts w:ascii="Times New Roman" w:hAnsi="Times New Roman"/>
                <w:color w:val="000000"/>
              </w:rPr>
              <w:t>K_mac</w:t>
            </w:r>
            <w:proofErr w:type="spellEnd"/>
            <w:r>
              <w:rPr>
                <w:rFonts w:ascii="Times New Roman" w:hAnsi="Times New Roman"/>
                <w:color w:val="000000"/>
              </w:rPr>
              <w:t>. RAN2 may take this information into account for future discussion. </w:t>
            </w:r>
          </w:p>
          <w:p w14:paraId="1329E366" w14:textId="77777777" w:rsidR="003B2471" w:rsidRDefault="003B2471" w:rsidP="003B2471">
            <w:pPr>
              <w:rPr>
                <w:rFonts w:ascii="Times New Roman" w:eastAsiaTheme="minorEastAsia" w:hAnsi="Times New Roman"/>
                <w:highlight w:val="green"/>
                <w:lang w:eastAsia="x-none"/>
              </w:rPr>
            </w:pPr>
          </w:p>
          <w:p w14:paraId="49057F12" w14:textId="77777777" w:rsidR="003B2471" w:rsidRDefault="003B2471" w:rsidP="003B2471">
            <w:pPr>
              <w:rPr>
                <w:rFonts w:ascii="Times New Roman" w:hAnsi="Times New Roman"/>
                <w:lang w:eastAsia="x-none"/>
              </w:rPr>
            </w:pPr>
            <w:r>
              <w:rPr>
                <w:rFonts w:ascii="Times New Roman" w:hAnsi="Times New Roman"/>
                <w:highlight w:val="green"/>
                <w:lang w:eastAsia="x-none"/>
              </w:rPr>
              <w:t>Agreement:</w:t>
            </w:r>
          </w:p>
          <w:p w14:paraId="72E8A629" w14:textId="77777777" w:rsidR="003B2471" w:rsidRDefault="003B2471" w:rsidP="003B2471">
            <w:pPr>
              <w:pStyle w:val="BodyText"/>
              <w:rPr>
                <w:rFonts w:ascii="Times New Roman" w:hAnsi="Times New Roman"/>
                <w:sz w:val="20"/>
                <w:szCs w:val="20"/>
                <w:lang w:eastAsia="zh-CN"/>
              </w:rPr>
            </w:pPr>
            <w:r>
              <w:rPr>
                <w:rFonts w:ascii="Times New Roman" w:hAnsi="Times New Roman"/>
                <w:sz w:val="20"/>
                <w:szCs w:val="20"/>
              </w:rPr>
              <w:t>The starts of ra-</w:t>
            </w:r>
            <w:proofErr w:type="spellStart"/>
            <w:r>
              <w:rPr>
                <w:rFonts w:ascii="Times New Roman" w:hAnsi="Times New Roman"/>
                <w:sz w:val="20"/>
                <w:szCs w:val="20"/>
              </w:rPr>
              <w:t>ResponseWindow</w:t>
            </w:r>
            <w:proofErr w:type="spellEnd"/>
            <w:r>
              <w:rPr>
                <w:rFonts w:ascii="Times New Roman" w:hAnsi="Times New Roman"/>
                <w:sz w:val="20"/>
                <w:szCs w:val="20"/>
              </w:rPr>
              <w:t xml:space="preserve"> and </w:t>
            </w:r>
            <w:proofErr w:type="spellStart"/>
            <w:r>
              <w:rPr>
                <w:rFonts w:ascii="Times New Roman" w:hAnsi="Times New Roman"/>
                <w:sz w:val="20"/>
                <w:szCs w:val="20"/>
              </w:rPr>
              <w:t>msgB-ResponseWindow</w:t>
            </w:r>
            <w:proofErr w:type="spellEnd"/>
            <w:r>
              <w:rPr>
                <w:rFonts w:ascii="Times New Roman" w:hAnsi="Times New Roman"/>
                <w:sz w:val="20"/>
                <w:szCs w:val="20"/>
              </w:rPr>
              <w:t xml:space="preserve"> are delayed by an estimate of UE-</w:t>
            </w:r>
            <w:proofErr w:type="spellStart"/>
            <w:r>
              <w:rPr>
                <w:rFonts w:ascii="Times New Roman" w:hAnsi="Times New Roman"/>
                <w:sz w:val="20"/>
                <w:szCs w:val="20"/>
              </w:rPr>
              <w:t>gNB</w:t>
            </w:r>
            <w:proofErr w:type="spellEnd"/>
            <w:r>
              <w:rPr>
                <w:rFonts w:ascii="Times New Roman" w:hAnsi="Times New Roman"/>
                <w:sz w:val="20"/>
                <w:szCs w:val="20"/>
              </w:rPr>
              <w:t xml:space="preserve"> RTT. </w:t>
            </w:r>
          </w:p>
          <w:p w14:paraId="623B5DD1" w14:textId="77777777" w:rsidR="003B2471" w:rsidRDefault="003B2471" w:rsidP="003B2471">
            <w:pPr>
              <w:pStyle w:val="BodyText"/>
              <w:numPr>
                <w:ilvl w:val="0"/>
                <w:numId w:val="44"/>
              </w:numPr>
              <w:spacing w:after="120" w:line="252" w:lineRule="auto"/>
              <w:rPr>
                <w:rFonts w:ascii="Times New Roman" w:eastAsia="Times New Roman" w:hAnsi="Times New Roman"/>
                <w:sz w:val="20"/>
                <w:szCs w:val="20"/>
              </w:rPr>
            </w:pPr>
            <w:r>
              <w:rPr>
                <w:rFonts w:ascii="Times New Roman" w:eastAsia="Times New Roman" w:hAnsi="Times New Roman"/>
                <w:sz w:val="20"/>
                <w:szCs w:val="20"/>
                <w:lang w:eastAsia="ko-KR"/>
              </w:rPr>
              <w:t>The estimate of UE-</w:t>
            </w:r>
            <w:proofErr w:type="spellStart"/>
            <w:r>
              <w:rPr>
                <w:rFonts w:ascii="Times New Roman" w:eastAsia="Times New Roman" w:hAnsi="Times New Roman"/>
                <w:sz w:val="20"/>
                <w:szCs w:val="20"/>
                <w:lang w:eastAsia="ko-KR"/>
              </w:rPr>
              <w:t>gNB</w:t>
            </w:r>
            <w:proofErr w:type="spellEnd"/>
            <w:r>
              <w:rPr>
                <w:rFonts w:ascii="Times New Roman" w:eastAsia="Times New Roman" w:hAnsi="Times New Roman"/>
                <w:sz w:val="20"/>
                <w:szCs w:val="20"/>
                <w:lang w:eastAsia="ko-KR"/>
              </w:rPr>
              <w:t xml:space="preserve"> RTT is equal to the sum of UE’s TA and </w:t>
            </w:r>
            <w:proofErr w:type="spellStart"/>
            <w:r>
              <w:rPr>
                <w:rFonts w:ascii="Times New Roman" w:eastAsia="Times New Roman" w:hAnsi="Times New Roman"/>
                <w:sz w:val="20"/>
                <w:szCs w:val="20"/>
                <w:lang w:eastAsia="ko-KR"/>
              </w:rPr>
              <w:t>K_mac</w:t>
            </w:r>
            <w:proofErr w:type="spellEnd"/>
            <w:r>
              <w:rPr>
                <w:rFonts w:ascii="Times New Roman" w:eastAsia="Times New Roman" w:hAnsi="Times New Roman"/>
                <w:sz w:val="20"/>
                <w:szCs w:val="20"/>
                <w:lang w:eastAsia="ko-KR"/>
              </w:rPr>
              <w:t>.</w:t>
            </w:r>
          </w:p>
          <w:p w14:paraId="1A8AFC8F" w14:textId="77777777" w:rsidR="003B2471" w:rsidRDefault="003B2471" w:rsidP="003B2471">
            <w:pPr>
              <w:rPr>
                <w:rFonts w:ascii="Times New Roman" w:eastAsiaTheme="minorEastAsia" w:hAnsi="Times New Roman"/>
              </w:rPr>
            </w:pPr>
            <w:r>
              <w:rPr>
                <w:rFonts w:ascii="Times New Roman" w:hAnsi="Times New Roman"/>
              </w:rPr>
              <w:t>Note 1: The UE’s TA is based on the RAN1#104bis-e agreement on Timing Advance applied by an NR NTN UE given by  </w:t>
            </w:r>
            <w:r>
              <w:fldChar w:fldCharType="begin"/>
            </w:r>
            <w:r>
              <w:rPr>
                <w:rFonts w:ascii="Times New Roman" w:hAnsi="Times New Roman"/>
              </w:rPr>
              <w:instrText xml:space="preserve"> QUOTE </w:instrTex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m:t>
                  </m:r>
                </m:sub>
              </m:sSub>
              <m:r>
                <m:rPr>
                  <m:sty m:val="p"/>
                </m:rPr>
                <w:rPr>
                  <w:rFonts w:ascii="Cambria Math" w:hAnsi="Cambria Math"/>
                  <w:highlight w:val="yellow"/>
                </w:rPr>
                <m:t>=</m:t>
              </m:r>
              <m:d>
                <m:dPr>
                  <m:ctrlPr>
                    <w:rPr>
                      <w:rFonts w:ascii="Cambria Math" w:hAnsi="Cambria Math"/>
                      <w:highlight w:val="yellow"/>
                    </w:rPr>
                  </m:ctrlPr>
                </m:dPr>
                <m:e>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 UE-specific</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TA,common</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TA,offset</m:t>
                      </m:r>
                    </m:sub>
                  </m:sSub>
                </m:e>
              </m:d>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c</m:t>
                  </m:r>
                </m:sub>
              </m:sSub>
            </m:oMath>
            <w:r>
              <w:rPr>
                <w:rFonts w:ascii="Times New Roman" w:hAnsi="Times New Roman"/>
              </w:rPr>
              <w:instrText xml:space="preserve"> </w:instrText>
            </w:r>
            <w:r>
              <w:fldChar w:fldCharType="separate"/>
            </w:r>
            <m:oMath>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TA</m:t>
                  </m:r>
                </m:sub>
              </m:sSub>
              <m:r>
                <m:rPr>
                  <m:sty m:val="p"/>
                </m:rPr>
                <w:rPr>
                  <w:rFonts w:ascii="Cambria Math" w:hAnsi="Cambria Math"/>
                  <w:highlight w:val="yellow"/>
                </w:rPr>
                <m:t>=</m:t>
              </m:r>
              <m:d>
                <m:dPr>
                  <m:ctrlPr>
                    <w:rPr>
                      <w:rFonts w:ascii="Cambria Math" w:hAnsi="Cambria Math"/>
                      <w:highlight w:val="yellow"/>
                    </w:rPr>
                  </m:ctrlPr>
                </m:dPr>
                <m:e>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 UE-specific</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TA,common</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TA,offset</m:t>
                      </m:r>
                    </m:sub>
                  </m:sSub>
                </m:e>
              </m:d>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c</m:t>
                  </m:r>
                </m:sub>
              </m:sSub>
            </m:oMath>
            <w:r>
              <w:fldChar w:fldCharType="end"/>
            </w:r>
            <w:r>
              <w:rPr>
                <w:rFonts w:ascii="Times New Roman" w:hAnsi="Times New Roman"/>
              </w:rPr>
              <w:t xml:space="preserve">. The estimate of gNB-satellite RTT is equal to the sum of </w: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TA,common</m:t>
                  </m:r>
                </m:sub>
              </m:sSub>
              <m:r>
                <m:rPr>
                  <m:sty m:val="p"/>
                </m:rPr>
                <w:rPr>
                  <w:rFonts w:ascii="Cambria Math" w:hAnsi="Cambria Math"/>
                  <w:highlight w:val="yellow"/>
                </w:rPr>
                <m:t>×</m:t>
              </m:r>
              <m:sSub>
                <m:sSubPr>
                  <m:ctrlPr>
                    <w:rPr>
                      <w:rFonts w:ascii="Cambria Math" w:hAnsi="Cambria Math"/>
                      <w:highlight w:val="yellow"/>
                    </w:rPr>
                  </m:ctrlPr>
                </m:sSubPr>
                <m:e>
                  <m:r>
                    <m:rPr>
                      <m:sty m:val="p"/>
                    </m:rPr>
                    <w:rPr>
                      <w:rFonts w:ascii="Cambria Math" w:hAnsi="Cambria Math"/>
                      <w:highlight w:val="yellow"/>
                    </w:rPr>
                    <m:t>T</m:t>
                  </m:r>
                </m:e>
                <m:sub>
                  <m:r>
                    <m:rPr>
                      <m:sty m:val="p"/>
                    </m:rPr>
                    <w:rPr>
                      <w:rFonts w:ascii="Cambria Math" w:hAnsi="Cambria Math"/>
                      <w:highlight w:val="yellow"/>
                    </w:rPr>
                    <m:t>c</m:t>
                  </m:r>
                </m:sub>
              </m:sSub>
            </m:oMath>
            <w:r>
              <w:rPr>
                <w:rFonts w:ascii="Times New Roman" w:hAnsi="Times New Roman"/>
              </w:rPr>
              <w:t xml:space="preserve"> and K_mac.  How to treat </w: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m:t>
                  </m:r>
                </m:sub>
              </m:sSub>
            </m:oMath>
            <w:r>
              <w:rPr>
                <w:rFonts w:ascii="Times New Roman" w:hAnsi="Times New Roman"/>
              </w:rPr>
              <w:t xml:space="preserve"> and </w: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TA,offset</m:t>
                  </m:r>
                </m:sub>
              </m:sSub>
            </m:oMath>
            <w:r>
              <w:rPr>
                <w:rFonts w:ascii="Times New Roman" w:hAnsi="Times New Roman"/>
              </w:rPr>
              <w:t xml:space="preserve"> can be further discussed.</w:t>
            </w:r>
          </w:p>
          <w:p w14:paraId="6107C76C" w14:textId="77777777" w:rsidR="003B2471" w:rsidRDefault="003B2471" w:rsidP="003B2471">
            <w:pPr>
              <w:rPr>
                <w:rFonts w:ascii="Times New Roman" w:hAnsi="Times New Roman"/>
                <w:lang w:val="de-DE"/>
              </w:rPr>
            </w:pPr>
            <w:r>
              <w:rPr>
                <w:rFonts w:ascii="Times New Roman" w:hAnsi="Times New Roman"/>
                <w:lang w:val="de-DE"/>
              </w:rPr>
              <w:t xml:space="preserve">Note 2: According to the </w:t>
            </w:r>
            <w:r>
              <w:rPr>
                <w:rFonts w:ascii="Times New Roman" w:hAnsi="Times New Roman"/>
              </w:rPr>
              <w:t xml:space="preserve">RAN1#104bis-e agreement: </w:t>
            </w:r>
            <w:r>
              <w:rPr>
                <w:rFonts w:ascii="Times New Roman" w:hAnsi="Times New Roman"/>
                <w:lang w:eastAsia="x-none"/>
              </w:rPr>
              <w:t xml:space="preserve">When UE is not provided by network with a </w:t>
            </w:r>
            <w:proofErr w:type="spellStart"/>
            <w:r>
              <w:rPr>
                <w:rFonts w:ascii="Times New Roman" w:hAnsi="Times New Roman"/>
                <w:lang w:eastAsia="x-none"/>
              </w:rPr>
              <w:t>K_mac</w:t>
            </w:r>
            <w:proofErr w:type="spellEnd"/>
            <w:r>
              <w:rPr>
                <w:rFonts w:ascii="Times New Roman" w:hAnsi="Times New Roman"/>
                <w:lang w:eastAsia="x-none"/>
              </w:rPr>
              <w:t xml:space="preserve"> value, UE assumes </w:t>
            </w:r>
            <w:proofErr w:type="spellStart"/>
            <w:r>
              <w:rPr>
                <w:rFonts w:ascii="Times New Roman" w:hAnsi="Times New Roman"/>
                <w:lang w:eastAsia="x-none"/>
              </w:rPr>
              <w:t>K_mac</w:t>
            </w:r>
            <w:proofErr w:type="spellEnd"/>
            <w:r>
              <w:rPr>
                <w:rFonts w:ascii="Times New Roman" w:hAnsi="Times New Roman"/>
                <w:lang w:eastAsia="x-none"/>
              </w:rPr>
              <w:t xml:space="preserve"> = 0.</w:t>
            </w:r>
          </w:p>
          <w:p w14:paraId="027A7366" w14:textId="77777777" w:rsidR="003B2471" w:rsidRDefault="003B2471" w:rsidP="003B2471">
            <w:pPr>
              <w:rPr>
                <w:rFonts w:ascii="Times New Roman" w:hAnsi="Times New Roman"/>
                <w:lang w:val="de-DE"/>
              </w:rPr>
            </w:pPr>
            <w:r>
              <w:rPr>
                <w:rFonts w:ascii="Times New Roman" w:hAnsi="Times New Roman"/>
                <w:lang w:val="de-DE"/>
              </w:rPr>
              <w:t>Note 3: The accuracy of the estimated UE-gNB RTT with respect to the true UE-gNB RTT can be further discussed.</w:t>
            </w:r>
          </w:p>
          <w:p w14:paraId="6CE12BF9" w14:textId="07F8B7C0" w:rsidR="003B2471" w:rsidRPr="003B2471" w:rsidRDefault="003B2471" w:rsidP="00BA46DF">
            <w:pPr>
              <w:rPr>
                <w:rFonts w:ascii="Times New Roman" w:hAnsi="Times New Roman"/>
                <w:bCs/>
                <w:lang w:val="en-US"/>
              </w:rPr>
            </w:pPr>
            <w:r>
              <w:rPr>
                <w:rFonts w:ascii="Times New Roman" w:hAnsi="Times New Roman"/>
                <w:lang w:val="de-DE"/>
              </w:rPr>
              <w:t>Note 4: Other options of determining the estimate of UE-gNB RTT can be further discussed.</w:t>
            </w:r>
          </w:p>
        </w:tc>
      </w:tr>
    </w:tbl>
    <w:p w14:paraId="63F19914" w14:textId="3009C2C5" w:rsidR="0072745C" w:rsidRDefault="0072745C" w:rsidP="00BA46DF">
      <w:pPr>
        <w:rPr>
          <w:bCs/>
          <w:lang w:val="en-US"/>
        </w:rPr>
      </w:pPr>
      <w:r>
        <w:rPr>
          <w:bCs/>
          <w:lang w:val="en-US"/>
        </w:rPr>
        <w:t xml:space="preserve">The reason that </w:t>
      </w:r>
      <w:r w:rsidR="00C972C5">
        <w:rPr>
          <w:bCs/>
          <w:lang w:val="en-US"/>
        </w:rPr>
        <w:t>we need to define dedicated requirements</w:t>
      </w:r>
      <w:r>
        <w:rPr>
          <w:bCs/>
          <w:lang w:val="en-US"/>
        </w:rPr>
        <w:t xml:space="preserve"> is that the </w:t>
      </w:r>
      <w:proofErr w:type="spellStart"/>
      <w:r>
        <w:rPr>
          <w:bCs/>
          <w:lang w:val="en-US"/>
        </w:rPr>
        <w:t>Te</w:t>
      </w:r>
      <w:proofErr w:type="spellEnd"/>
      <w:r>
        <w:rPr>
          <w:bCs/>
          <w:lang w:val="en-US"/>
        </w:rPr>
        <w:t xml:space="preserve"> requirements only apply to the first transmission but for other UL transmissions </w:t>
      </w:r>
      <w:r w:rsidR="00B72A2D">
        <w:rPr>
          <w:bCs/>
          <w:lang w:val="en-US"/>
        </w:rPr>
        <w:t xml:space="preserve">there is no requirement if there is no TA update from the MAC CE. </w:t>
      </w:r>
      <w:proofErr w:type="gramStart"/>
      <w:r w:rsidR="00B72A2D">
        <w:rPr>
          <w:bCs/>
          <w:lang w:val="en-US"/>
        </w:rPr>
        <w:t>However</w:t>
      </w:r>
      <w:proofErr w:type="gramEnd"/>
      <w:r w:rsidR="00B72A2D">
        <w:rPr>
          <w:bCs/>
          <w:lang w:val="en-US"/>
        </w:rPr>
        <w:t xml:space="preserve"> in NTN, the UE needs to update its TA estimation every certain periodicity due to satellite-UE relative mobility.</w:t>
      </w:r>
    </w:p>
    <w:p w14:paraId="041CE222" w14:textId="6428E59B" w:rsidR="00B72A2D" w:rsidRPr="0072745C" w:rsidRDefault="00C972C5" w:rsidP="00BA46DF">
      <w:pPr>
        <w:rPr>
          <w:bCs/>
          <w:lang w:val="en-US"/>
        </w:rPr>
      </w:pPr>
      <w:r>
        <w:rPr>
          <w:bCs/>
          <w:lang w:val="en-US"/>
        </w:rPr>
        <w:t xml:space="preserve">Further, </w:t>
      </w:r>
      <w:r w:rsidR="00B72A2D">
        <w:rPr>
          <w:bCs/>
          <w:lang w:val="en-US"/>
        </w:rPr>
        <w:t xml:space="preserve">due to rather long RTT between </w:t>
      </w:r>
      <w:proofErr w:type="spellStart"/>
      <w:r w:rsidR="00B72A2D">
        <w:rPr>
          <w:bCs/>
          <w:lang w:val="en-US"/>
        </w:rPr>
        <w:t>gNB</w:t>
      </w:r>
      <w:proofErr w:type="spellEnd"/>
      <w:r w:rsidR="00B72A2D">
        <w:rPr>
          <w:bCs/>
          <w:lang w:val="en-US"/>
        </w:rPr>
        <w:t xml:space="preserve"> and UE the updates of UE specific estimated TA and the network configured MAC TA are not likely to be aligned in time and periodicity at all. In fact</w:t>
      </w:r>
      <w:r>
        <w:rPr>
          <w:bCs/>
          <w:lang w:val="en-US"/>
        </w:rPr>
        <w:t>,</w:t>
      </w:r>
      <w:r w:rsidR="00B72A2D">
        <w:rPr>
          <w:bCs/>
          <w:lang w:val="en-US"/>
        </w:rPr>
        <w:t xml:space="preserve"> this is exactly the reason that 3GPP introduces dedicated UE TA updates </w:t>
      </w:r>
      <w:proofErr w:type="gramStart"/>
      <w:r w:rsidR="00B72A2D">
        <w:rPr>
          <w:bCs/>
          <w:lang w:val="en-US"/>
        </w:rPr>
        <w:t>in order to</w:t>
      </w:r>
      <w:proofErr w:type="gramEnd"/>
      <w:r w:rsidR="00B72A2D">
        <w:rPr>
          <w:bCs/>
          <w:lang w:val="en-US"/>
        </w:rPr>
        <w:t xml:space="preserve"> counter inefficient network TA updates due to super long RTT.</w:t>
      </w:r>
    </w:p>
    <w:p w14:paraId="33540D1A" w14:textId="3B66AE35" w:rsidR="00DC64FD" w:rsidRDefault="00DC64FD" w:rsidP="00BA46DF">
      <w:pPr>
        <w:rPr>
          <w:b/>
        </w:rPr>
      </w:pPr>
      <w:r w:rsidRPr="00B72A2D">
        <w:rPr>
          <w:b/>
        </w:rPr>
        <w:t xml:space="preserve">Proposal 1: </w:t>
      </w:r>
      <w:r w:rsidR="00B72A2D" w:rsidRPr="00B72A2D">
        <w:rPr>
          <w:b/>
        </w:rPr>
        <w:t xml:space="preserve">RAN4 defines UE specific TA estimation and update </w:t>
      </w:r>
      <w:r w:rsidR="00B72A2D">
        <w:rPr>
          <w:b/>
        </w:rPr>
        <w:t xml:space="preserve">accuracy </w:t>
      </w:r>
      <w:r w:rsidR="00B72A2D" w:rsidRPr="00B72A2D">
        <w:rPr>
          <w:b/>
        </w:rPr>
        <w:t>requirements to guarantee fair UE UL transmission timing</w:t>
      </w:r>
      <w:r w:rsidR="00B72A2D">
        <w:rPr>
          <w:b/>
        </w:rPr>
        <w:t>.</w:t>
      </w:r>
    </w:p>
    <w:p w14:paraId="3305348F" w14:textId="7C3F56A5" w:rsidR="00B72A2D" w:rsidRDefault="00B72A2D" w:rsidP="00BA46DF">
      <w:pPr>
        <w:rPr>
          <w:b/>
        </w:rPr>
      </w:pPr>
      <w:r>
        <w:rPr>
          <w:b/>
        </w:rPr>
        <w:t>Proposal 2: An NTN UE is required to correctly estimate and update the UE specific TA value in every certain periodicity</w:t>
      </w:r>
      <w:r w:rsidR="00A01588">
        <w:rPr>
          <w:b/>
        </w:rPr>
        <w:t>, based on its GNSS positions and satellite ephemeris information.</w:t>
      </w:r>
    </w:p>
    <w:p w14:paraId="24EC052F" w14:textId="1C09A3D5" w:rsidR="00A01588" w:rsidRPr="00B72A2D" w:rsidRDefault="00A01588" w:rsidP="00BA46DF">
      <w:pPr>
        <w:rPr>
          <w:b/>
        </w:rPr>
      </w:pPr>
      <w:r>
        <w:rPr>
          <w:b/>
        </w:rPr>
        <w:t>Observation 1: it is RAN1 to decide whether the UE updates the specific TA value by substitute TA values or by TA differences.</w:t>
      </w:r>
    </w:p>
    <w:p w14:paraId="47EA9465" w14:textId="1C549F36" w:rsidR="005F32D0" w:rsidRPr="005F32D0" w:rsidRDefault="00A01588" w:rsidP="00C05119">
      <w:pPr>
        <w:pStyle w:val="Heading2"/>
        <w:rPr>
          <w:b/>
          <w:lang w:val="en-US" w:eastAsia="zh-CN"/>
        </w:rPr>
      </w:pPr>
      <w:r>
        <w:rPr>
          <w:lang w:val="en-US" w:eastAsia="zh-CN"/>
        </w:rPr>
        <w:t>How</w:t>
      </w:r>
      <w:r w:rsidR="00D953C5">
        <w:rPr>
          <w:lang w:val="en-US" w:eastAsia="zh-CN"/>
        </w:rPr>
        <w:t xml:space="preserve"> </w:t>
      </w:r>
      <w:r>
        <w:rPr>
          <w:lang w:val="en-US" w:eastAsia="zh-CN"/>
        </w:rPr>
        <w:t xml:space="preserve">does </w:t>
      </w:r>
      <w:r w:rsidR="00D953C5">
        <w:rPr>
          <w:lang w:val="en-US" w:eastAsia="zh-CN"/>
        </w:rPr>
        <w:t xml:space="preserve">UE </w:t>
      </w:r>
      <w:r>
        <w:rPr>
          <w:lang w:val="en-US" w:eastAsia="zh-CN"/>
        </w:rPr>
        <w:t>adjust its timing accordingly?</w:t>
      </w:r>
    </w:p>
    <w:p w14:paraId="65230BE2" w14:textId="7B794BDC" w:rsidR="00A01588" w:rsidRDefault="00A01588" w:rsidP="008A2AEE">
      <w:pPr>
        <w:rPr>
          <w:lang w:val="en-US" w:eastAsia="zh-CN"/>
        </w:rPr>
      </w:pPr>
      <w:r>
        <w:rPr>
          <w:lang w:val="en-US" w:eastAsia="zh-CN"/>
        </w:rPr>
        <w:t>For a R</w:t>
      </w:r>
      <w:r w:rsidR="00C972C5">
        <w:rPr>
          <w:lang w:val="en-US" w:eastAsia="zh-CN"/>
        </w:rPr>
        <w:t>el-</w:t>
      </w:r>
      <w:r>
        <w:rPr>
          <w:lang w:val="en-US" w:eastAsia="zh-CN"/>
        </w:rPr>
        <w:t>15 UE,</w:t>
      </w:r>
      <w:r w:rsidR="00C972C5">
        <w:rPr>
          <w:lang w:val="en-US" w:eastAsia="zh-CN"/>
        </w:rPr>
        <w:t xml:space="preserve"> in addition to </w:t>
      </w:r>
      <w:proofErr w:type="spellStart"/>
      <w:r w:rsidR="00C972C5">
        <w:rPr>
          <w:lang w:val="en-US" w:eastAsia="zh-CN"/>
        </w:rPr>
        <w:t>Te</w:t>
      </w:r>
      <w:proofErr w:type="spellEnd"/>
      <w:r w:rsidR="00C972C5">
        <w:rPr>
          <w:lang w:val="en-US" w:eastAsia="zh-CN"/>
        </w:rPr>
        <w:t xml:space="preserve"> requirements,</w:t>
      </w:r>
      <w:r>
        <w:rPr>
          <w:lang w:val="en-US" w:eastAsia="zh-CN"/>
        </w:rPr>
        <w:t xml:space="preserve"> timing adjustment requirements require it to gradually adjust its timing when there is DL timing difference observed at the UE. See the below elaboration from TS 38.133.</w:t>
      </w:r>
    </w:p>
    <w:tbl>
      <w:tblPr>
        <w:tblStyle w:val="TableGrid"/>
        <w:tblW w:w="0" w:type="auto"/>
        <w:tblLook w:val="04A0" w:firstRow="1" w:lastRow="0" w:firstColumn="1" w:lastColumn="0" w:noHBand="0" w:noVBand="1"/>
      </w:tblPr>
      <w:tblGrid>
        <w:gridCol w:w="10457"/>
      </w:tblGrid>
      <w:tr w:rsidR="00A01588" w14:paraId="2356B6FE" w14:textId="77777777" w:rsidTr="00A01588">
        <w:tc>
          <w:tcPr>
            <w:tcW w:w="10457" w:type="dxa"/>
          </w:tcPr>
          <w:p w14:paraId="17083D97" w14:textId="1B930F48" w:rsidR="00A01588" w:rsidRDefault="00A01588" w:rsidP="00A01588">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proofErr w:type="spellStart"/>
            <w:r>
              <w:rPr>
                <w:rFonts w:cs="v4.2.0"/>
              </w:rPr>
              <w:t>T</w:t>
            </w:r>
            <w:r>
              <w:rPr>
                <w:rFonts w:cs="v4.2.0"/>
                <w:vertAlign w:val="subscript"/>
              </w:rPr>
              <w:t>e</w:t>
            </w:r>
            <w:proofErr w:type="spellEnd"/>
            <w:r>
              <w:rPr>
                <w:rFonts w:cs="v4.2.0"/>
              </w:rPr>
              <w:t xml:space="preserve"> then the UE is required to adjust its timing to within </w:t>
            </w:r>
            <w:r>
              <w:rPr>
                <w:rFonts w:cs="v4.2.0"/>
              </w:rPr>
              <w:sym w:font="Symbol" w:char="F0B1"/>
            </w:r>
            <w:proofErr w:type="spellStart"/>
            <w:r>
              <w:rPr>
                <w:rFonts w:cs="v4.2.0"/>
              </w:rPr>
              <w:t>T</w:t>
            </w:r>
            <w:r>
              <w:rPr>
                <w:rFonts w:cs="v4.2.0"/>
                <w:vertAlign w:val="subscript"/>
              </w:rPr>
              <w:t>e</w:t>
            </w:r>
            <w:proofErr w:type="spellEnd"/>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4A7738A" wp14:editId="73EB0E5E">
                  <wp:extent cx="1143000" cy="193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322F9622" w14:textId="77777777" w:rsidR="00A01588" w:rsidRDefault="00A01588" w:rsidP="00A01588">
            <w:pPr>
              <w:pStyle w:val="B10"/>
              <w:rPr>
                <w:lang w:eastAsia="en-US"/>
              </w:rPr>
            </w:pPr>
            <w:r>
              <w:t>1)</w:t>
            </w:r>
            <w:r>
              <w:tab/>
              <w:t xml:space="preserve">The maximum amount of the magnitude of the timing change in one adjustment shall be </w:t>
            </w:r>
            <w:proofErr w:type="spellStart"/>
            <w:r>
              <w:rPr>
                <w:rFonts w:cs="v4.2.0"/>
              </w:rPr>
              <w:t>T</w:t>
            </w:r>
            <w:r>
              <w:rPr>
                <w:rFonts w:cs="v4.2.0"/>
                <w:vertAlign w:val="subscript"/>
              </w:rPr>
              <w:t>q</w:t>
            </w:r>
            <w:proofErr w:type="spellEnd"/>
            <w:r>
              <w:t>.</w:t>
            </w:r>
          </w:p>
          <w:p w14:paraId="669F6CBE" w14:textId="77777777" w:rsidR="00A01588" w:rsidRDefault="00A01588" w:rsidP="00A01588">
            <w:pPr>
              <w:pStyle w:val="B10"/>
            </w:pPr>
            <w:r>
              <w:t>2)</w:t>
            </w:r>
            <w:r>
              <w:tab/>
              <w:t xml:space="preserve">The minimum aggregate adjustment rate shall be </w:t>
            </w:r>
            <w:proofErr w:type="spellStart"/>
            <w:r>
              <w:rPr>
                <w:rFonts w:cs="v4.2.0"/>
              </w:rPr>
              <w:t>T</w:t>
            </w:r>
            <w:r>
              <w:rPr>
                <w:rFonts w:cs="v4.2.0"/>
                <w:vertAlign w:val="subscript"/>
                <w:lang w:eastAsia="zh-CN"/>
              </w:rPr>
              <w:t>p</w:t>
            </w:r>
            <w:proofErr w:type="spellEnd"/>
            <w:r>
              <w:t xml:space="preserve"> per second.</w:t>
            </w:r>
          </w:p>
          <w:p w14:paraId="06130941" w14:textId="4F53C315" w:rsidR="00A01588" w:rsidRPr="00A01588" w:rsidRDefault="00A01588" w:rsidP="00A01588">
            <w:pPr>
              <w:pStyle w:val="B10"/>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w:t>
            </w:r>
          </w:p>
        </w:tc>
      </w:tr>
    </w:tbl>
    <w:p w14:paraId="582066F5" w14:textId="77602B22" w:rsidR="00A01588" w:rsidRDefault="00A01588" w:rsidP="008A2AEE">
      <w:pPr>
        <w:rPr>
          <w:lang w:val="en-US" w:eastAsia="zh-CN"/>
        </w:rPr>
      </w:pPr>
      <w:r>
        <w:rPr>
          <w:lang w:val="en-US" w:eastAsia="zh-CN"/>
        </w:rPr>
        <w:t xml:space="preserve">The reason to apply gradual timing adjustment is to counter the sudden DL timing change due to </w:t>
      </w:r>
      <w:r w:rsidR="00436349">
        <w:rPr>
          <w:lang w:val="en-US" w:eastAsia="zh-CN"/>
        </w:rPr>
        <w:t xml:space="preserve">something like </w:t>
      </w:r>
      <w:r>
        <w:rPr>
          <w:lang w:val="en-US" w:eastAsia="zh-CN"/>
        </w:rPr>
        <w:t>instant blockage of the best propagation</w:t>
      </w:r>
      <w:r w:rsidR="00436349">
        <w:rPr>
          <w:lang w:val="en-US" w:eastAsia="zh-CN"/>
        </w:rPr>
        <w:t xml:space="preserve">. </w:t>
      </w:r>
      <w:r w:rsidR="00FC71E9">
        <w:rPr>
          <w:lang w:val="en-US" w:eastAsia="zh-CN"/>
        </w:rPr>
        <w:t xml:space="preserve">The minimum aggregate adjustment rate requires the UE to at least adjust its timing with </w:t>
      </w:r>
      <w:proofErr w:type="spellStart"/>
      <w:r w:rsidR="00FC71E9">
        <w:rPr>
          <w:lang w:val="en-US" w:eastAsia="zh-CN"/>
        </w:rPr>
        <w:t>Tp</w:t>
      </w:r>
      <w:proofErr w:type="spellEnd"/>
      <w:r w:rsidR="00FC71E9">
        <w:rPr>
          <w:lang w:val="en-US" w:eastAsia="zh-CN"/>
        </w:rPr>
        <w:t xml:space="preserve"> in every second and the maximum aggregate adjustment rate requires the UE to at most adjust its timing with </w:t>
      </w:r>
      <w:proofErr w:type="spellStart"/>
      <w:r w:rsidR="00FC71E9">
        <w:rPr>
          <w:lang w:val="en-US" w:eastAsia="zh-CN"/>
        </w:rPr>
        <w:t>Tq</w:t>
      </w:r>
      <w:proofErr w:type="spellEnd"/>
      <w:r w:rsidR="00FC71E9">
        <w:rPr>
          <w:lang w:val="en-US" w:eastAsia="zh-CN"/>
        </w:rPr>
        <w:t xml:space="preserve"> in every 200ms.</w:t>
      </w:r>
    </w:p>
    <w:p w14:paraId="626118BF" w14:textId="28354229" w:rsidR="00436349" w:rsidRDefault="00436349" w:rsidP="008A2AEE">
      <w:pPr>
        <w:rPr>
          <w:lang w:val="en-US" w:eastAsia="zh-CN"/>
        </w:rPr>
      </w:pPr>
      <w:r>
        <w:rPr>
          <w:lang w:val="en-US" w:eastAsia="zh-CN"/>
        </w:rPr>
        <w:t>For an NTN UE, similar requirements should apply to UE specific TA estimation and update. This is because the UE specific TA estimation is based on UE GNSS and satellite ephemeris which both impose possible sudden transitions.</w:t>
      </w:r>
      <w:r w:rsidR="00FC71E9">
        <w:rPr>
          <w:lang w:val="en-US" w:eastAsia="zh-CN"/>
        </w:rPr>
        <w:t xml:space="preserve"> Thus, the UE is required to estimate and update its specific TA and adjust its timing gradually with certain minimum and maximum aggregate adjustment rate requirements.</w:t>
      </w:r>
    </w:p>
    <w:p w14:paraId="7505B170" w14:textId="594BCA3C" w:rsidR="00650229" w:rsidRDefault="00650229" w:rsidP="00650229">
      <w:pPr>
        <w:rPr>
          <w:b/>
          <w:lang w:val="en-US" w:eastAsia="zh-CN"/>
        </w:rPr>
      </w:pPr>
      <w:r w:rsidRPr="00245D5E">
        <w:rPr>
          <w:b/>
          <w:lang w:val="en-US" w:eastAsia="zh-CN"/>
        </w:rPr>
        <w:t>Proposal</w:t>
      </w:r>
      <w:r>
        <w:rPr>
          <w:b/>
          <w:lang w:val="en-US" w:eastAsia="zh-CN"/>
        </w:rPr>
        <w:t xml:space="preserve"> </w:t>
      </w:r>
      <w:r w:rsidR="00FC71E9">
        <w:rPr>
          <w:b/>
          <w:lang w:val="en-US" w:eastAsia="zh-CN"/>
        </w:rPr>
        <w:t>3</w:t>
      </w:r>
      <w:r w:rsidRPr="00245D5E">
        <w:rPr>
          <w:b/>
          <w:lang w:val="en-US" w:eastAsia="zh-CN"/>
        </w:rPr>
        <w:t xml:space="preserve">:  </w:t>
      </w:r>
      <w:r w:rsidR="00FC71E9">
        <w:rPr>
          <w:b/>
          <w:lang w:val="en-US" w:eastAsia="zh-CN"/>
        </w:rPr>
        <w:t>An NTN UE is required to adjust its UL timing towards updated UE specific TA gradually, according to minimum and maximum aggregate adjustment rate requirements</w:t>
      </w:r>
      <w:r>
        <w:rPr>
          <w:b/>
          <w:lang w:val="en-US" w:eastAsia="zh-CN"/>
        </w:rPr>
        <w:t>.</w:t>
      </w:r>
    </w:p>
    <w:p w14:paraId="4B9A3E22" w14:textId="7FE55010" w:rsidR="003646C3" w:rsidRDefault="003646C3" w:rsidP="00650229">
      <w:pPr>
        <w:rPr>
          <w:bCs/>
          <w:lang w:val="en-US" w:eastAsia="zh-CN"/>
        </w:rPr>
      </w:pPr>
      <w:r>
        <w:rPr>
          <w:bCs/>
          <w:lang w:val="en-US" w:eastAsia="zh-CN"/>
        </w:rPr>
        <w:lastRenderedPageBreak/>
        <w:t>In the last RAN4 meeting, fruitful discussions were carried out regarding whether RAN4 should define different requirements for different types of satellite and whether RAN4 should assume certain conditions when considering the gradual timing adjustment requirements.</w:t>
      </w:r>
    </w:p>
    <w:tbl>
      <w:tblPr>
        <w:tblStyle w:val="TableGrid"/>
        <w:tblW w:w="0" w:type="auto"/>
        <w:tblLook w:val="04A0" w:firstRow="1" w:lastRow="0" w:firstColumn="1" w:lastColumn="0" w:noHBand="0" w:noVBand="1"/>
      </w:tblPr>
      <w:tblGrid>
        <w:gridCol w:w="10457"/>
      </w:tblGrid>
      <w:tr w:rsidR="003646C3" w14:paraId="386824CF" w14:textId="77777777" w:rsidTr="003646C3">
        <w:tc>
          <w:tcPr>
            <w:tcW w:w="10457" w:type="dxa"/>
          </w:tcPr>
          <w:p w14:paraId="77263DA7" w14:textId="77777777" w:rsidR="003646C3" w:rsidRPr="003646C3" w:rsidRDefault="003646C3" w:rsidP="003646C3">
            <w:pPr>
              <w:numPr>
                <w:ilvl w:val="0"/>
                <w:numId w:val="45"/>
              </w:numPr>
              <w:rPr>
                <w:bCs/>
                <w:lang w:val="en-US" w:eastAsia="zh-CN"/>
              </w:rPr>
            </w:pPr>
            <w:r w:rsidRPr="003646C3">
              <w:rPr>
                <w:rFonts w:hint="eastAsia"/>
                <w:bCs/>
                <w:lang w:eastAsia="zh-CN"/>
              </w:rPr>
              <w:t>Whether define different gradual timing adjustment requirements for different NTN topologies e.g. GEO, MEO, LEO</w:t>
            </w:r>
          </w:p>
          <w:p w14:paraId="11181ABE" w14:textId="77777777" w:rsidR="003646C3" w:rsidRPr="003646C3" w:rsidRDefault="003646C3" w:rsidP="003646C3">
            <w:pPr>
              <w:numPr>
                <w:ilvl w:val="1"/>
                <w:numId w:val="45"/>
              </w:numPr>
              <w:rPr>
                <w:bCs/>
                <w:lang w:val="en-US" w:eastAsia="zh-CN"/>
              </w:rPr>
            </w:pPr>
            <w:r w:rsidRPr="003646C3">
              <w:rPr>
                <w:rFonts w:hint="eastAsia"/>
                <w:bCs/>
                <w:lang w:eastAsia="zh-CN"/>
              </w:rPr>
              <w:t>Option 1: Yes (CATT, Xiaomi, Ericsson)</w:t>
            </w:r>
          </w:p>
          <w:p w14:paraId="64C6B43A" w14:textId="77777777" w:rsidR="003646C3" w:rsidRPr="003646C3" w:rsidRDefault="003646C3" w:rsidP="003646C3">
            <w:pPr>
              <w:numPr>
                <w:ilvl w:val="1"/>
                <w:numId w:val="45"/>
              </w:numPr>
              <w:rPr>
                <w:bCs/>
                <w:lang w:val="en-US" w:eastAsia="zh-CN"/>
              </w:rPr>
            </w:pPr>
            <w:r w:rsidRPr="003646C3">
              <w:rPr>
                <w:rFonts w:hint="eastAsia"/>
                <w:bCs/>
                <w:lang w:eastAsia="zh-CN"/>
              </w:rPr>
              <w:t>Option 2: FFS (QC, CMCC, Apple, Huawei, ZTE, THALES, NEC, Intel)</w:t>
            </w:r>
          </w:p>
          <w:p w14:paraId="35FD00AB" w14:textId="77777777" w:rsidR="003646C3" w:rsidRPr="003646C3" w:rsidRDefault="003646C3" w:rsidP="003646C3">
            <w:pPr>
              <w:numPr>
                <w:ilvl w:val="0"/>
                <w:numId w:val="45"/>
              </w:numPr>
              <w:rPr>
                <w:bCs/>
                <w:lang w:val="en-US" w:eastAsia="zh-CN"/>
              </w:rPr>
            </w:pPr>
            <w:r w:rsidRPr="003646C3">
              <w:rPr>
                <w:rFonts w:hint="eastAsia"/>
                <w:bCs/>
                <w:lang w:eastAsia="zh-CN"/>
              </w:rPr>
              <w:t>The assumptions will be used to define gradual timing adjustment requirements for NTN network</w:t>
            </w:r>
          </w:p>
          <w:p w14:paraId="460F73AB" w14:textId="77777777" w:rsidR="003646C3" w:rsidRPr="003646C3" w:rsidRDefault="003646C3" w:rsidP="003646C3">
            <w:pPr>
              <w:numPr>
                <w:ilvl w:val="1"/>
                <w:numId w:val="45"/>
              </w:numPr>
              <w:rPr>
                <w:bCs/>
                <w:lang w:val="en-US" w:eastAsia="zh-CN"/>
              </w:rPr>
            </w:pPr>
            <w:r w:rsidRPr="003646C3">
              <w:rPr>
                <w:rFonts w:hint="eastAsia"/>
                <w:bCs/>
                <w:lang w:eastAsia="zh-CN"/>
              </w:rPr>
              <w:t>Option 1: UE performs timing adjustment for downlink reception timing drifting and UE specific TA change separately. (Huawei, MTK, Ericsson, Xiaomi)</w:t>
            </w:r>
          </w:p>
          <w:p w14:paraId="59D52EE7" w14:textId="77777777" w:rsidR="003646C3" w:rsidRPr="003646C3" w:rsidRDefault="003646C3" w:rsidP="003646C3">
            <w:pPr>
              <w:numPr>
                <w:ilvl w:val="1"/>
                <w:numId w:val="45"/>
              </w:numPr>
              <w:rPr>
                <w:bCs/>
                <w:lang w:val="en-US" w:eastAsia="zh-CN"/>
              </w:rPr>
            </w:pPr>
            <w:r w:rsidRPr="003646C3">
              <w:rPr>
                <w:rFonts w:hint="eastAsia"/>
                <w:bCs/>
                <w:lang w:eastAsia="zh-CN"/>
              </w:rPr>
              <w:t>Option 2: UE performs timing adjustment with combining downlink reception timing drifting and UE specific TA change as one adjustment. (Huawei, Apple, QC, THALES, CMCC, Intel)</w:t>
            </w:r>
          </w:p>
          <w:p w14:paraId="7127D2A1" w14:textId="77777777" w:rsidR="003646C3" w:rsidRPr="003646C3" w:rsidRDefault="003646C3" w:rsidP="003646C3">
            <w:pPr>
              <w:numPr>
                <w:ilvl w:val="0"/>
                <w:numId w:val="45"/>
              </w:numPr>
              <w:rPr>
                <w:bCs/>
                <w:lang w:val="en-US" w:eastAsia="zh-CN"/>
              </w:rPr>
            </w:pPr>
            <w:r w:rsidRPr="003646C3">
              <w:rPr>
                <w:rFonts w:hint="eastAsia"/>
                <w:bCs/>
                <w:lang w:eastAsia="zh-CN"/>
              </w:rPr>
              <w:t>Whether the maximum delay variation should be considered in the gradual timing adjustment requirement in NTN?</w:t>
            </w:r>
          </w:p>
          <w:p w14:paraId="1FC85903" w14:textId="77777777" w:rsidR="003646C3" w:rsidRPr="003646C3" w:rsidRDefault="003646C3" w:rsidP="003646C3">
            <w:pPr>
              <w:numPr>
                <w:ilvl w:val="1"/>
                <w:numId w:val="45"/>
              </w:numPr>
              <w:rPr>
                <w:bCs/>
                <w:lang w:val="en-US" w:eastAsia="zh-CN"/>
              </w:rPr>
            </w:pPr>
            <w:r w:rsidRPr="003646C3">
              <w:rPr>
                <w:rFonts w:hint="eastAsia"/>
                <w:bCs/>
                <w:lang w:eastAsia="zh-CN"/>
              </w:rPr>
              <w:t>Option 1: Yes (Xiaomi, CMCC, Ericsson, Apple, Huawei, QC, Ericsson)</w:t>
            </w:r>
          </w:p>
          <w:p w14:paraId="640B7891" w14:textId="77777777" w:rsidR="003646C3" w:rsidRPr="003646C3" w:rsidRDefault="003646C3" w:rsidP="003646C3">
            <w:pPr>
              <w:numPr>
                <w:ilvl w:val="1"/>
                <w:numId w:val="45"/>
              </w:numPr>
              <w:rPr>
                <w:bCs/>
                <w:lang w:val="en-US" w:eastAsia="zh-CN"/>
              </w:rPr>
            </w:pPr>
            <w:r w:rsidRPr="003646C3">
              <w:rPr>
                <w:rFonts w:hint="eastAsia"/>
                <w:bCs/>
                <w:lang w:eastAsia="zh-CN"/>
              </w:rPr>
              <w:t>Option 2: FFS (CATT, MTK, THALES, NEC)</w:t>
            </w:r>
          </w:p>
          <w:p w14:paraId="5B326C0D" w14:textId="271D4086" w:rsidR="003646C3" w:rsidRPr="003646C3" w:rsidRDefault="003646C3" w:rsidP="003646C3">
            <w:pPr>
              <w:numPr>
                <w:ilvl w:val="0"/>
                <w:numId w:val="45"/>
              </w:numPr>
              <w:rPr>
                <w:bCs/>
                <w:lang w:val="en-US" w:eastAsia="zh-CN"/>
              </w:rPr>
            </w:pPr>
            <w:r w:rsidRPr="003646C3">
              <w:rPr>
                <w:rFonts w:hint="eastAsia"/>
                <w:bCs/>
                <w:lang w:eastAsia="zh-CN"/>
              </w:rPr>
              <w:t>FFS the direction of timing adjustment for NTN UE pre-compensation</w:t>
            </w:r>
          </w:p>
        </w:tc>
      </w:tr>
    </w:tbl>
    <w:p w14:paraId="1B3D690E" w14:textId="7E2F2BB6" w:rsidR="003646C3" w:rsidRDefault="003646C3" w:rsidP="00650229">
      <w:pPr>
        <w:rPr>
          <w:bCs/>
          <w:lang w:val="en-US" w:eastAsia="zh-CN"/>
        </w:rPr>
      </w:pPr>
      <w:r>
        <w:rPr>
          <w:bCs/>
          <w:lang w:val="en-US" w:eastAsia="zh-CN"/>
        </w:rPr>
        <w:t>We don’t think there is clear justification to define different requirements for different NTN topologies</w:t>
      </w:r>
      <w:r w:rsidR="00375DC6">
        <w:rPr>
          <w:bCs/>
          <w:lang w:val="en-US" w:eastAsia="zh-CN"/>
        </w:rPr>
        <w:t>,</w:t>
      </w:r>
      <w:r>
        <w:rPr>
          <w:bCs/>
          <w:lang w:val="en-US" w:eastAsia="zh-CN"/>
        </w:rPr>
        <w:t xml:space="preserve"> so we propose to have a single set of requirements </w:t>
      </w:r>
      <w:r w:rsidR="00375DC6">
        <w:rPr>
          <w:bCs/>
          <w:lang w:val="en-US" w:eastAsia="zh-CN"/>
        </w:rPr>
        <w:t>for gradual timing adjustment.</w:t>
      </w:r>
    </w:p>
    <w:p w14:paraId="77DCF089" w14:textId="72ACE82A" w:rsidR="00375DC6" w:rsidRPr="00375DC6" w:rsidRDefault="00375DC6" w:rsidP="00650229">
      <w:pPr>
        <w:rPr>
          <w:b/>
          <w:lang w:val="en-US" w:eastAsia="zh-CN"/>
        </w:rPr>
      </w:pPr>
      <w:r w:rsidRPr="00245D5E">
        <w:rPr>
          <w:b/>
          <w:lang w:val="en-US" w:eastAsia="zh-CN"/>
        </w:rPr>
        <w:t>Proposal</w:t>
      </w:r>
      <w:r>
        <w:rPr>
          <w:b/>
          <w:lang w:val="en-US" w:eastAsia="zh-CN"/>
        </w:rPr>
        <w:t xml:space="preserve"> 4</w:t>
      </w:r>
      <w:r w:rsidRPr="00245D5E">
        <w:rPr>
          <w:b/>
          <w:lang w:val="en-US" w:eastAsia="zh-CN"/>
        </w:rPr>
        <w:t xml:space="preserve">:  </w:t>
      </w:r>
      <w:r>
        <w:rPr>
          <w:b/>
          <w:lang w:val="en-US" w:eastAsia="zh-CN"/>
        </w:rPr>
        <w:t>Define a single set of gradual timing adjustment requirements for different NTN topologies.</w:t>
      </w:r>
    </w:p>
    <w:p w14:paraId="024885E4" w14:textId="77777777" w:rsidR="00B9097E" w:rsidRDefault="00101F32" w:rsidP="00B9097E">
      <w:pPr>
        <w:pStyle w:val="Heading1"/>
        <w:rPr>
          <w:rFonts w:eastAsia="SimSun"/>
          <w:lang w:eastAsia="zh-CN"/>
        </w:rPr>
      </w:pPr>
      <w:r>
        <w:rPr>
          <w:rFonts w:eastAsia="SimSun"/>
          <w:lang w:eastAsia="zh-CN"/>
        </w:rPr>
        <w:t>Conclusions</w:t>
      </w:r>
    </w:p>
    <w:p w14:paraId="1549E743" w14:textId="684A7B94" w:rsidR="00F27FCE" w:rsidRDefault="00F27FCE" w:rsidP="00F27FCE">
      <w:pPr>
        <w:rPr>
          <w:lang w:val="en-US" w:eastAsia="zh-CN"/>
        </w:rPr>
      </w:pPr>
      <w:r>
        <w:rPr>
          <w:lang w:val="en-US" w:eastAsia="zh-CN"/>
        </w:rPr>
        <w:t xml:space="preserve">In this paper we analyze the UE timing operations based on the assumption that the reference point for system timing procedures lies somewhere between the satellite and the </w:t>
      </w:r>
      <w:proofErr w:type="spellStart"/>
      <w:r>
        <w:rPr>
          <w:lang w:val="en-US" w:eastAsia="zh-CN"/>
        </w:rPr>
        <w:t>gNB</w:t>
      </w:r>
      <w:proofErr w:type="spellEnd"/>
      <w:r>
        <w:rPr>
          <w:lang w:val="en-US" w:eastAsia="zh-CN"/>
        </w:rPr>
        <w:t xml:space="preserve"> (network implementation). Under such circumstances, the UE make use of the estimated UE specific TA and the configured common TA from network to derive UL timing. In RAN4, we consider timing requirements for all related timing procedures and it is proposed that we should specify dedicated timing requirements for UE specific TA estimation and update, and the corresponding timing adjustment procedure.</w:t>
      </w:r>
    </w:p>
    <w:p w14:paraId="0EA8CD33" w14:textId="77777777" w:rsidR="00F27FCE" w:rsidRDefault="00F27FCE" w:rsidP="00F27FCE">
      <w:pPr>
        <w:rPr>
          <w:b/>
        </w:rPr>
      </w:pPr>
      <w:r w:rsidRPr="00B72A2D">
        <w:rPr>
          <w:b/>
        </w:rPr>
        <w:t xml:space="preserve">Proposal 1: RAN4 defines UE specific TA estimation and update </w:t>
      </w:r>
      <w:r>
        <w:rPr>
          <w:b/>
        </w:rPr>
        <w:t xml:space="preserve">accuracy </w:t>
      </w:r>
      <w:r w:rsidRPr="00B72A2D">
        <w:rPr>
          <w:b/>
        </w:rPr>
        <w:t>requirements to guarantee fair UE UL transmission timing</w:t>
      </w:r>
      <w:r>
        <w:rPr>
          <w:b/>
        </w:rPr>
        <w:t>.</w:t>
      </w:r>
    </w:p>
    <w:p w14:paraId="7CD4CD41" w14:textId="77777777" w:rsidR="00F27FCE" w:rsidRDefault="00F27FCE" w:rsidP="00F27FCE">
      <w:pPr>
        <w:rPr>
          <w:b/>
        </w:rPr>
      </w:pPr>
      <w:r>
        <w:rPr>
          <w:b/>
        </w:rPr>
        <w:t>Proposal 2: An NTN UE is required to correctly estimate and update the UE specific TA value in every certain periodicity, based on its GNSS positions and satellite ephemeris information.</w:t>
      </w:r>
    </w:p>
    <w:p w14:paraId="0AD32B81" w14:textId="77777777" w:rsidR="00F27FCE" w:rsidRPr="00B72A2D" w:rsidRDefault="00F27FCE" w:rsidP="00F27FCE">
      <w:pPr>
        <w:rPr>
          <w:b/>
        </w:rPr>
      </w:pPr>
      <w:r>
        <w:rPr>
          <w:b/>
        </w:rPr>
        <w:t>Observation 1: it is RAN1 to decide whether the UE updates the specific TA value by substitute TA values or by TA differences.</w:t>
      </w:r>
    </w:p>
    <w:p w14:paraId="6238B520" w14:textId="18D2E335" w:rsidR="00F27FCE" w:rsidRDefault="00F27FCE" w:rsidP="00F27FCE">
      <w:pPr>
        <w:rPr>
          <w:b/>
          <w:lang w:val="en-US" w:eastAsia="zh-CN"/>
        </w:rPr>
      </w:pPr>
      <w:r w:rsidRPr="00245D5E">
        <w:rPr>
          <w:b/>
          <w:lang w:val="en-US" w:eastAsia="zh-CN"/>
        </w:rPr>
        <w:t>Proposal</w:t>
      </w:r>
      <w:r>
        <w:rPr>
          <w:b/>
          <w:lang w:val="en-US" w:eastAsia="zh-CN"/>
        </w:rPr>
        <w:t xml:space="preserve"> 3</w:t>
      </w:r>
      <w:r w:rsidRPr="00245D5E">
        <w:rPr>
          <w:b/>
          <w:lang w:val="en-US" w:eastAsia="zh-CN"/>
        </w:rPr>
        <w:t xml:space="preserve">:  </w:t>
      </w:r>
      <w:r>
        <w:rPr>
          <w:b/>
          <w:lang w:val="en-US" w:eastAsia="zh-CN"/>
        </w:rPr>
        <w:t>An NTN UE is required to adjust its UL timing towards updated UE specific TA gradually, according to minimum and maximum aggregate adjustment rate requirements.</w:t>
      </w:r>
    </w:p>
    <w:p w14:paraId="3585067A" w14:textId="77777777" w:rsidR="00375DC6" w:rsidRPr="00375DC6" w:rsidRDefault="00375DC6" w:rsidP="00375DC6">
      <w:pPr>
        <w:rPr>
          <w:b/>
          <w:lang w:val="en-US" w:eastAsia="zh-CN"/>
        </w:rPr>
      </w:pPr>
      <w:r w:rsidRPr="00245D5E">
        <w:rPr>
          <w:b/>
          <w:lang w:val="en-US" w:eastAsia="zh-CN"/>
        </w:rPr>
        <w:t>Proposal</w:t>
      </w:r>
      <w:r>
        <w:rPr>
          <w:b/>
          <w:lang w:val="en-US" w:eastAsia="zh-CN"/>
        </w:rPr>
        <w:t xml:space="preserve"> 4</w:t>
      </w:r>
      <w:r w:rsidRPr="00245D5E">
        <w:rPr>
          <w:b/>
          <w:lang w:val="en-US" w:eastAsia="zh-CN"/>
        </w:rPr>
        <w:t xml:space="preserve">:  </w:t>
      </w:r>
      <w:r>
        <w:rPr>
          <w:b/>
          <w:lang w:val="en-US" w:eastAsia="zh-CN"/>
        </w:rPr>
        <w:t>Define a single set of gradual timing adjustment requirements for different NTN topologies.</w:t>
      </w:r>
    </w:p>
    <w:p w14:paraId="4B02854B" w14:textId="77777777" w:rsidR="00245D5E" w:rsidRDefault="00245D5E" w:rsidP="00245D5E">
      <w:pPr>
        <w:pStyle w:val="Heading1"/>
        <w:rPr>
          <w:rFonts w:eastAsia="SimSun"/>
          <w:lang w:eastAsia="zh-CN"/>
        </w:rPr>
      </w:pPr>
      <w:r>
        <w:rPr>
          <w:rFonts w:eastAsia="SimSun"/>
          <w:lang w:eastAsia="zh-CN"/>
        </w:rPr>
        <w:t>References</w:t>
      </w:r>
    </w:p>
    <w:p w14:paraId="3AC0646A" w14:textId="2B70BACC" w:rsidR="00245D5E" w:rsidRDefault="00245D5E" w:rsidP="00245D5E">
      <w:pPr>
        <w:rPr>
          <w:lang w:val="en-US" w:eastAsia="zh-CN"/>
        </w:rPr>
      </w:pPr>
      <w:r>
        <w:rPr>
          <w:lang w:val="en-US" w:eastAsia="zh-CN"/>
        </w:rPr>
        <w:t xml:space="preserve">[1] </w:t>
      </w:r>
      <w:r w:rsidR="00650229">
        <w:rPr>
          <w:lang w:val="en-US" w:eastAsia="zh-CN"/>
        </w:rPr>
        <w:t>R4-210</w:t>
      </w:r>
      <w:r w:rsidR="00375DC6">
        <w:rPr>
          <w:lang w:val="en-US" w:eastAsia="zh-CN"/>
        </w:rPr>
        <w:t>8350</w:t>
      </w:r>
      <w:r w:rsidR="0095154E">
        <w:rPr>
          <w:lang w:val="en-US" w:eastAsia="zh-CN"/>
        </w:rPr>
        <w:t xml:space="preserve">, </w:t>
      </w:r>
      <w:r w:rsidR="00CF7D18" w:rsidRPr="00CF7D18">
        <w:rPr>
          <w:lang w:val="en-US" w:eastAsia="zh-CN"/>
        </w:rPr>
        <w:t>WF on timing requirements for NR NTN</w:t>
      </w:r>
      <w:r w:rsidR="00F77BD5">
        <w:rPr>
          <w:lang w:val="en-US" w:eastAsia="zh-CN"/>
        </w:rPr>
        <w:t xml:space="preserve">, </w:t>
      </w:r>
      <w:r w:rsidR="00F27FCE">
        <w:rPr>
          <w:lang w:val="en-US" w:eastAsia="zh-CN"/>
        </w:rPr>
        <w:t>Xiaomi</w:t>
      </w:r>
    </w:p>
    <w:p w14:paraId="1EBADD22" w14:textId="12D7CA88" w:rsidR="00375DC6" w:rsidRDefault="00375DC6" w:rsidP="00245D5E">
      <w:pPr>
        <w:rPr>
          <w:lang w:val="en-US" w:eastAsia="zh-CN"/>
        </w:rPr>
      </w:pPr>
      <w:r>
        <w:rPr>
          <w:lang w:val="en-US" w:eastAsia="zh-CN"/>
        </w:rPr>
        <w:t xml:space="preserve">[2] R1-2106341, </w:t>
      </w:r>
      <w:r>
        <w:rPr>
          <w:bCs/>
        </w:rPr>
        <w:t>Reply LS on TA pre-compensation, OPPO</w:t>
      </w:r>
    </w:p>
    <w:p w14:paraId="5A5B110F" w14:textId="5E382859" w:rsidR="00F27FCE" w:rsidRDefault="00F27FCE" w:rsidP="00245D5E">
      <w:pPr>
        <w:rPr>
          <w:lang w:val="en-US" w:eastAsia="zh-CN"/>
        </w:rPr>
      </w:pPr>
      <w:r>
        <w:rPr>
          <w:lang w:val="en-US" w:eastAsia="zh-CN"/>
        </w:rPr>
        <w:t>[</w:t>
      </w:r>
      <w:r w:rsidR="00375DC6">
        <w:rPr>
          <w:lang w:val="en-US" w:eastAsia="zh-CN"/>
        </w:rPr>
        <w:t>3</w:t>
      </w:r>
      <w:r>
        <w:rPr>
          <w:lang w:val="en-US" w:eastAsia="zh-CN"/>
        </w:rPr>
        <w:t xml:space="preserve">] R1-2102215, </w:t>
      </w:r>
      <w:r w:rsidR="00E37EC4">
        <w:t>FL Summary on enhancements on UL time and frequency synchronization for NR NTN, THALES</w:t>
      </w:r>
    </w:p>
    <w:sectPr w:rsidR="00F27FC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06829" w14:textId="77777777" w:rsidR="00EF19FF" w:rsidRDefault="00EF19FF">
      <w:r>
        <w:separator/>
      </w:r>
    </w:p>
  </w:endnote>
  <w:endnote w:type="continuationSeparator" w:id="0">
    <w:p w14:paraId="614B452B" w14:textId="77777777" w:rsidR="00EF19FF" w:rsidRDefault="00EF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E3033" w14:textId="77777777" w:rsidR="00EF19FF" w:rsidRDefault="00EF19FF">
      <w:r>
        <w:separator/>
      </w:r>
    </w:p>
  </w:footnote>
  <w:footnote w:type="continuationSeparator" w:id="0">
    <w:p w14:paraId="43D7AB6A" w14:textId="77777777" w:rsidR="00EF19FF" w:rsidRDefault="00EF1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20C59CA"/>
    <w:multiLevelType w:val="hybridMultilevel"/>
    <w:tmpl w:val="1B24A3EC"/>
    <w:lvl w:ilvl="0" w:tplc="1F88E42E">
      <w:start w:val="1"/>
      <w:numFmt w:val="bullet"/>
      <w:lvlText w:val="•"/>
      <w:lvlJc w:val="left"/>
      <w:pPr>
        <w:tabs>
          <w:tab w:val="num" w:pos="720"/>
        </w:tabs>
        <w:ind w:left="720" w:hanging="360"/>
      </w:pPr>
      <w:rPr>
        <w:rFonts w:ascii="Arial" w:hAnsi="Arial" w:hint="default"/>
      </w:rPr>
    </w:lvl>
    <w:lvl w:ilvl="1" w:tplc="75720A0A">
      <w:numFmt w:val="none"/>
      <w:lvlText w:val=""/>
      <w:lvlJc w:val="left"/>
      <w:pPr>
        <w:tabs>
          <w:tab w:val="num" w:pos="360"/>
        </w:tabs>
      </w:pPr>
    </w:lvl>
    <w:lvl w:ilvl="2" w:tplc="935844A6">
      <w:numFmt w:val="none"/>
      <w:lvlText w:val=""/>
      <w:lvlJc w:val="left"/>
      <w:pPr>
        <w:tabs>
          <w:tab w:val="num" w:pos="360"/>
        </w:tabs>
      </w:pPr>
    </w:lvl>
    <w:lvl w:ilvl="3" w:tplc="006210FE" w:tentative="1">
      <w:start w:val="1"/>
      <w:numFmt w:val="bullet"/>
      <w:lvlText w:val="•"/>
      <w:lvlJc w:val="left"/>
      <w:pPr>
        <w:tabs>
          <w:tab w:val="num" w:pos="2880"/>
        </w:tabs>
        <w:ind w:left="2880" w:hanging="360"/>
      </w:pPr>
      <w:rPr>
        <w:rFonts w:ascii="Arial" w:hAnsi="Arial" w:hint="default"/>
      </w:rPr>
    </w:lvl>
    <w:lvl w:ilvl="4" w:tplc="455A0266" w:tentative="1">
      <w:start w:val="1"/>
      <w:numFmt w:val="bullet"/>
      <w:lvlText w:val="•"/>
      <w:lvlJc w:val="left"/>
      <w:pPr>
        <w:tabs>
          <w:tab w:val="num" w:pos="3600"/>
        </w:tabs>
        <w:ind w:left="3600" w:hanging="360"/>
      </w:pPr>
      <w:rPr>
        <w:rFonts w:ascii="Arial" w:hAnsi="Arial" w:hint="default"/>
      </w:rPr>
    </w:lvl>
    <w:lvl w:ilvl="5" w:tplc="5DAAB4D4" w:tentative="1">
      <w:start w:val="1"/>
      <w:numFmt w:val="bullet"/>
      <w:lvlText w:val="•"/>
      <w:lvlJc w:val="left"/>
      <w:pPr>
        <w:tabs>
          <w:tab w:val="num" w:pos="4320"/>
        </w:tabs>
        <w:ind w:left="4320" w:hanging="360"/>
      </w:pPr>
      <w:rPr>
        <w:rFonts w:ascii="Arial" w:hAnsi="Arial" w:hint="default"/>
      </w:rPr>
    </w:lvl>
    <w:lvl w:ilvl="6" w:tplc="ABD8F704" w:tentative="1">
      <w:start w:val="1"/>
      <w:numFmt w:val="bullet"/>
      <w:lvlText w:val="•"/>
      <w:lvlJc w:val="left"/>
      <w:pPr>
        <w:tabs>
          <w:tab w:val="num" w:pos="5040"/>
        </w:tabs>
        <w:ind w:left="5040" w:hanging="360"/>
      </w:pPr>
      <w:rPr>
        <w:rFonts w:ascii="Arial" w:hAnsi="Arial" w:hint="default"/>
      </w:rPr>
    </w:lvl>
    <w:lvl w:ilvl="7" w:tplc="D50250CA" w:tentative="1">
      <w:start w:val="1"/>
      <w:numFmt w:val="bullet"/>
      <w:lvlText w:val="•"/>
      <w:lvlJc w:val="left"/>
      <w:pPr>
        <w:tabs>
          <w:tab w:val="num" w:pos="5760"/>
        </w:tabs>
        <w:ind w:left="5760" w:hanging="360"/>
      </w:pPr>
      <w:rPr>
        <w:rFonts w:ascii="Arial" w:hAnsi="Arial" w:hint="default"/>
      </w:rPr>
    </w:lvl>
    <w:lvl w:ilvl="8" w:tplc="DC2C47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3C44AEE"/>
    <w:multiLevelType w:val="hybridMultilevel"/>
    <w:tmpl w:val="03983D7C"/>
    <w:lvl w:ilvl="0" w:tplc="21C4AAA6">
      <w:start w:val="1"/>
      <w:numFmt w:val="bullet"/>
      <w:lvlText w:val="•"/>
      <w:lvlJc w:val="left"/>
      <w:pPr>
        <w:tabs>
          <w:tab w:val="num" w:pos="720"/>
        </w:tabs>
        <w:ind w:left="720" w:hanging="360"/>
      </w:pPr>
      <w:rPr>
        <w:rFonts w:ascii="Arial" w:hAnsi="Arial" w:hint="default"/>
      </w:rPr>
    </w:lvl>
    <w:lvl w:ilvl="1" w:tplc="0D9A304A">
      <w:numFmt w:val="none"/>
      <w:lvlText w:val=""/>
      <w:lvlJc w:val="left"/>
      <w:pPr>
        <w:tabs>
          <w:tab w:val="num" w:pos="360"/>
        </w:tabs>
      </w:pPr>
    </w:lvl>
    <w:lvl w:ilvl="2" w:tplc="F9D02D66">
      <w:start w:val="1"/>
      <w:numFmt w:val="bullet"/>
      <w:lvlText w:val="•"/>
      <w:lvlJc w:val="left"/>
      <w:pPr>
        <w:tabs>
          <w:tab w:val="num" w:pos="2160"/>
        </w:tabs>
        <w:ind w:left="2160" w:hanging="360"/>
      </w:pPr>
      <w:rPr>
        <w:rFonts w:ascii="Arial" w:hAnsi="Arial" w:hint="default"/>
      </w:rPr>
    </w:lvl>
    <w:lvl w:ilvl="3" w:tplc="F01A945C" w:tentative="1">
      <w:start w:val="1"/>
      <w:numFmt w:val="bullet"/>
      <w:lvlText w:val="•"/>
      <w:lvlJc w:val="left"/>
      <w:pPr>
        <w:tabs>
          <w:tab w:val="num" w:pos="2880"/>
        </w:tabs>
        <w:ind w:left="2880" w:hanging="360"/>
      </w:pPr>
      <w:rPr>
        <w:rFonts w:ascii="Arial" w:hAnsi="Arial" w:hint="default"/>
      </w:rPr>
    </w:lvl>
    <w:lvl w:ilvl="4" w:tplc="00D6748E" w:tentative="1">
      <w:start w:val="1"/>
      <w:numFmt w:val="bullet"/>
      <w:lvlText w:val="•"/>
      <w:lvlJc w:val="left"/>
      <w:pPr>
        <w:tabs>
          <w:tab w:val="num" w:pos="3600"/>
        </w:tabs>
        <w:ind w:left="3600" w:hanging="360"/>
      </w:pPr>
      <w:rPr>
        <w:rFonts w:ascii="Arial" w:hAnsi="Arial" w:hint="default"/>
      </w:rPr>
    </w:lvl>
    <w:lvl w:ilvl="5" w:tplc="C7B86182" w:tentative="1">
      <w:start w:val="1"/>
      <w:numFmt w:val="bullet"/>
      <w:lvlText w:val="•"/>
      <w:lvlJc w:val="left"/>
      <w:pPr>
        <w:tabs>
          <w:tab w:val="num" w:pos="4320"/>
        </w:tabs>
        <w:ind w:left="4320" w:hanging="360"/>
      </w:pPr>
      <w:rPr>
        <w:rFonts w:ascii="Arial" w:hAnsi="Arial" w:hint="default"/>
      </w:rPr>
    </w:lvl>
    <w:lvl w:ilvl="6" w:tplc="3C644568" w:tentative="1">
      <w:start w:val="1"/>
      <w:numFmt w:val="bullet"/>
      <w:lvlText w:val="•"/>
      <w:lvlJc w:val="left"/>
      <w:pPr>
        <w:tabs>
          <w:tab w:val="num" w:pos="5040"/>
        </w:tabs>
        <w:ind w:left="5040" w:hanging="360"/>
      </w:pPr>
      <w:rPr>
        <w:rFonts w:ascii="Arial" w:hAnsi="Arial" w:hint="default"/>
      </w:rPr>
    </w:lvl>
    <w:lvl w:ilvl="7" w:tplc="3C781456" w:tentative="1">
      <w:start w:val="1"/>
      <w:numFmt w:val="bullet"/>
      <w:lvlText w:val="•"/>
      <w:lvlJc w:val="left"/>
      <w:pPr>
        <w:tabs>
          <w:tab w:val="num" w:pos="5760"/>
        </w:tabs>
        <w:ind w:left="5760" w:hanging="360"/>
      </w:pPr>
      <w:rPr>
        <w:rFonts w:ascii="Arial" w:hAnsi="Arial" w:hint="default"/>
      </w:rPr>
    </w:lvl>
    <w:lvl w:ilvl="8" w:tplc="91304F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EC28F2"/>
    <w:multiLevelType w:val="hybridMultilevel"/>
    <w:tmpl w:val="6FCC40C4"/>
    <w:lvl w:ilvl="0" w:tplc="1B96A994">
      <w:start w:val="1"/>
      <w:numFmt w:val="bullet"/>
      <w:lvlText w:val="•"/>
      <w:lvlJc w:val="left"/>
      <w:pPr>
        <w:tabs>
          <w:tab w:val="num" w:pos="720"/>
        </w:tabs>
        <w:ind w:left="720" w:hanging="360"/>
      </w:pPr>
      <w:rPr>
        <w:rFonts w:ascii="Arial" w:hAnsi="Arial" w:hint="default"/>
      </w:rPr>
    </w:lvl>
    <w:lvl w:ilvl="1" w:tplc="1E5E4A76">
      <w:numFmt w:val="none"/>
      <w:lvlText w:val=""/>
      <w:lvlJc w:val="left"/>
      <w:pPr>
        <w:tabs>
          <w:tab w:val="num" w:pos="360"/>
        </w:tabs>
      </w:pPr>
    </w:lvl>
    <w:lvl w:ilvl="2" w:tplc="15A25FD4">
      <w:numFmt w:val="none"/>
      <w:lvlText w:val=""/>
      <w:lvlJc w:val="left"/>
      <w:pPr>
        <w:tabs>
          <w:tab w:val="num" w:pos="360"/>
        </w:tabs>
      </w:pPr>
    </w:lvl>
    <w:lvl w:ilvl="3" w:tplc="D14628AC" w:tentative="1">
      <w:start w:val="1"/>
      <w:numFmt w:val="bullet"/>
      <w:lvlText w:val="•"/>
      <w:lvlJc w:val="left"/>
      <w:pPr>
        <w:tabs>
          <w:tab w:val="num" w:pos="2880"/>
        </w:tabs>
        <w:ind w:left="2880" w:hanging="360"/>
      </w:pPr>
      <w:rPr>
        <w:rFonts w:ascii="Arial" w:hAnsi="Arial" w:hint="default"/>
      </w:rPr>
    </w:lvl>
    <w:lvl w:ilvl="4" w:tplc="C26C4AEC" w:tentative="1">
      <w:start w:val="1"/>
      <w:numFmt w:val="bullet"/>
      <w:lvlText w:val="•"/>
      <w:lvlJc w:val="left"/>
      <w:pPr>
        <w:tabs>
          <w:tab w:val="num" w:pos="3600"/>
        </w:tabs>
        <w:ind w:left="3600" w:hanging="360"/>
      </w:pPr>
      <w:rPr>
        <w:rFonts w:ascii="Arial" w:hAnsi="Arial" w:hint="default"/>
      </w:rPr>
    </w:lvl>
    <w:lvl w:ilvl="5" w:tplc="979008F6" w:tentative="1">
      <w:start w:val="1"/>
      <w:numFmt w:val="bullet"/>
      <w:lvlText w:val="•"/>
      <w:lvlJc w:val="left"/>
      <w:pPr>
        <w:tabs>
          <w:tab w:val="num" w:pos="4320"/>
        </w:tabs>
        <w:ind w:left="4320" w:hanging="360"/>
      </w:pPr>
      <w:rPr>
        <w:rFonts w:ascii="Arial" w:hAnsi="Arial" w:hint="default"/>
      </w:rPr>
    </w:lvl>
    <w:lvl w:ilvl="6" w:tplc="21F40FAC" w:tentative="1">
      <w:start w:val="1"/>
      <w:numFmt w:val="bullet"/>
      <w:lvlText w:val="•"/>
      <w:lvlJc w:val="left"/>
      <w:pPr>
        <w:tabs>
          <w:tab w:val="num" w:pos="5040"/>
        </w:tabs>
        <w:ind w:left="5040" w:hanging="360"/>
      </w:pPr>
      <w:rPr>
        <w:rFonts w:ascii="Arial" w:hAnsi="Arial" w:hint="default"/>
      </w:rPr>
    </w:lvl>
    <w:lvl w:ilvl="7" w:tplc="A19686EE" w:tentative="1">
      <w:start w:val="1"/>
      <w:numFmt w:val="bullet"/>
      <w:lvlText w:val="•"/>
      <w:lvlJc w:val="left"/>
      <w:pPr>
        <w:tabs>
          <w:tab w:val="num" w:pos="5760"/>
        </w:tabs>
        <w:ind w:left="5760" w:hanging="360"/>
      </w:pPr>
      <w:rPr>
        <w:rFonts w:ascii="Arial" w:hAnsi="Arial" w:hint="default"/>
      </w:rPr>
    </w:lvl>
    <w:lvl w:ilvl="8" w:tplc="D9FAF7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E27CBB"/>
    <w:multiLevelType w:val="hybridMultilevel"/>
    <w:tmpl w:val="BE680E7C"/>
    <w:lvl w:ilvl="0" w:tplc="E920245C">
      <w:start w:val="1"/>
      <w:numFmt w:val="bullet"/>
      <w:lvlText w:val="•"/>
      <w:lvlJc w:val="left"/>
      <w:pPr>
        <w:tabs>
          <w:tab w:val="num" w:pos="720"/>
        </w:tabs>
        <w:ind w:left="720" w:hanging="360"/>
      </w:pPr>
      <w:rPr>
        <w:rFonts w:ascii="Arial" w:hAnsi="Arial" w:hint="default"/>
      </w:rPr>
    </w:lvl>
    <w:lvl w:ilvl="1" w:tplc="5A223D5E" w:tentative="1">
      <w:start w:val="1"/>
      <w:numFmt w:val="bullet"/>
      <w:lvlText w:val="•"/>
      <w:lvlJc w:val="left"/>
      <w:pPr>
        <w:tabs>
          <w:tab w:val="num" w:pos="1440"/>
        </w:tabs>
        <w:ind w:left="1440" w:hanging="360"/>
      </w:pPr>
      <w:rPr>
        <w:rFonts w:ascii="Arial" w:hAnsi="Arial" w:hint="default"/>
      </w:rPr>
    </w:lvl>
    <w:lvl w:ilvl="2" w:tplc="AAB460B8">
      <w:start w:val="1"/>
      <w:numFmt w:val="bullet"/>
      <w:lvlText w:val="•"/>
      <w:lvlJc w:val="left"/>
      <w:pPr>
        <w:tabs>
          <w:tab w:val="num" w:pos="2160"/>
        </w:tabs>
        <w:ind w:left="2160" w:hanging="360"/>
      </w:pPr>
      <w:rPr>
        <w:rFonts w:ascii="Arial" w:hAnsi="Arial" w:hint="default"/>
      </w:rPr>
    </w:lvl>
    <w:lvl w:ilvl="3" w:tplc="D708CD54" w:tentative="1">
      <w:start w:val="1"/>
      <w:numFmt w:val="bullet"/>
      <w:lvlText w:val="•"/>
      <w:lvlJc w:val="left"/>
      <w:pPr>
        <w:tabs>
          <w:tab w:val="num" w:pos="2880"/>
        </w:tabs>
        <w:ind w:left="2880" w:hanging="360"/>
      </w:pPr>
      <w:rPr>
        <w:rFonts w:ascii="Arial" w:hAnsi="Arial" w:hint="default"/>
      </w:rPr>
    </w:lvl>
    <w:lvl w:ilvl="4" w:tplc="844CCFDC" w:tentative="1">
      <w:start w:val="1"/>
      <w:numFmt w:val="bullet"/>
      <w:lvlText w:val="•"/>
      <w:lvlJc w:val="left"/>
      <w:pPr>
        <w:tabs>
          <w:tab w:val="num" w:pos="3600"/>
        </w:tabs>
        <w:ind w:left="3600" w:hanging="360"/>
      </w:pPr>
      <w:rPr>
        <w:rFonts w:ascii="Arial" w:hAnsi="Arial" w:hint="default"/>
      </w:rPr>
    </w:lvl>
    <w:lvl w:ilvl="5" w:tplc="D15A22DE" w:tentative="1">
      <w:start w:val="1"/>
      <w:numFmt w:val="bullet"/>
      <w:lvlText w:val="•"/>
      <w:lvlJc w:val="left"/>
      <w:pPr>
        <w:tabs>
          <w:tab w:val="num" w:pos="4320"/>
        </w:tabs>
        <w:ind w:left="4320" w:hanging="360"/>
      </w:pPr>
      <w:rPr>
        <w:rFonts w:ascii="Arial" w:hAnsi="Arial" w:hint="default"/>
      </w:rPr>
    </w:lvl>
    <w:lvl w:ilvl="6" w:tplc="25942CCA" w:tentative="1">
      <w:start w:val="1"/>
      <w:numFmt w:val="bullet"/>
      <w:lvlText w:val="•"/>
      <w:lvlJc w:val="left"/>
      <w:pPr>
        <w:tabs>
          <w:tab w:val="num" w:pos="5040"/>
        </w:tabs>
        <w:ind w:left="5040" w:hanging="360"/>
      </w:pPr>
      <w:rPr>
        <w:rFonts w:ascii="Arial" w:hAnsi="Arial" w:hint="default"/>
      </w:rPr>
    </w:lvl>
    <w:lvl w:ilvl="7" w:tplc="C33A3F42" w:tentative="1">
      <w:start w:val="1"/>
      <w:numFmt w:val="bullet"/>
      <w:lvlText w:val="•"/>
      <w:lvlJc w:val="left"/>
      <w:pPr>
        <w:tabs>
          <w:tab w:val="num" w:pos="5760"/>
        </w:tabs>
        <w:ind w:left="5760" w:hanging="360"/>
      </w:pPr>
      <w:rPr>
        <w:rFonts w:ascii="Arial" w:hAnsi="Arial" w:hint="default"/>
      </w:rPr>
    </w:lvl>
    <w:lvl w:ilvl="8" w:tplc="1E66BA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E8A6930"/>
    <w:multiLevelType w:val="hybridMultilevel"/>
    <w:tmpl w:val="D8A864AE"/>
    <w:lvl w:ilvl="0" w:tplc="073C00A2">
      <w:start w:val="1"/>
      <w:numFmt w:val="bullet"/>
      <w:lvlText w:val="•"/>
      <w:lvlJc w:val="left"/>
      <w:pPr>
        <w:tabs>
          <w:tab w:val="num" w:pos="720"/>
        </w:tabs>
        <w:ind w:left="720" w:hanging="360"/>
      </w:pPr>
      <w:rPr>
        <w:rFonts w:ascii="Arial" w:hAnsi="Arial" w:hint="default"/>
      </w:rPr>
    </w:lvl>
    <w:lvl w:ilvl="1" w:tplc="83D4BCF6">
      <w:numFmt w:val="none"/>
      <w:lvlText w:val=""/>
      <w:lvlJc w:val="left"/>
      <w:pPr>
        <w:tabs>
          <w:tab w:val="num" w:pos="360"/>
        </w:tabs>
      </w:pPr>
    </w:lvl>
    <w:lvl w:ilvl="2" w:tplc="D4508844">
      <w:numFmt w:val="none"/>
      <w:lvlText w:val=""/>
      <w:lvlJc w:val="left"/>
      <w:pPr>
        <w:tabs>
          <w:tab w:val="num" w:pos="360"/>
        </w:tabs>
      </w:pPr>
    </w:lvl>
    <w:lvl w:ilvl="3" w:tplc="32B83A82">
      <w:numFmt w:val="none"/>
      <w:lvlText w:val=""/>
      <w:lvlJc w:val="left"/>
      <w:pPr>
        <w:tabs>
          <w:tab w:val="num" w:pos="360"/>
        </w:tabs>
      </w:pPr>
    </w:lvl>
    <w:lvl w:ilvl="4" w:tplc="E9981626" w:tentative="1">
      <w:start w:val="1"/>
      <w:numFmt w:val="bullet"/>
      <w:lvlText w:val="•"/>
      <w:lvlJc w:val="left"/>
      <w:pPr>
        <w:tabs>
          <w:tab w:val="num" w:pos="3600"/>
        </w:tabs>
        <w:ind w:left="3600" w:hanging="360"/>
      </w:pPr>
      <w:rPr>
        <w:rFonts w:ascii="Arial" w:hAnsi="Arial" w:hint="default"/>
      </w:rPr>
    </w:lvl>
    <w:lvl w:ilvl="5" w:tplc="38EC267A" w:tentative="1">
      <w:start w:val="1"/>
      <w:numFmt w:val="bullet"/>
      <w:lvlText w:val="•"/>
      <w:lvlJc w:val="left"/>
      <w:pPr>
        <w:tabs>
          <w:tab w:val="num" w:pos="4320"/>
        </w:tabs>
        <w:ind w:left="4320" w:hanging="360"/>
      </w:pPr>
      <w:rPr>
        <w:rFonts w:ascii="Arial" w:hAnsi="Arial" w:hint="default"/>
      </w:rPr>
    </w:lvl>
    <w:lvl w:ilvl="6" w:tplc="689C9AD4" w:tentative="1">
      <w:start w:val="1"/>
      <w:numFmt w:val="bullet"/>
      <w:lvlText w:val="•"/>
      <w:lvlJc w:val="left"/>
      <w:pPr>
        <w:tabs>
          <w:tab w:val="num" w:pos="5040"/>
        </w:tabs>
        <w:ind w:left="5040" w:hanging="360"/>
      </w:pPr>
      <w:rPr>
        <w:rFonts w:ascii="Arial" w:hAnsi="Arial" w:hint="default"/>
      </w:rPr>
    </w:lvl>
    <w:lvl w:ilvl="7" w:tplc="43186552" w:tentative="1">
      <w:start w:val="1"/>
      <w:numFmt w:val="bullet"/>
      <w:lvlText w:val="•"/>
      <w:lvlJc w:val="left"/>
      <w:pPr>
        <w:tabs>
          <w:tab w:val="num" w:pos="5760"/>
        </w:tabs>
        <w:ind w:left="5760" w:hanging="360"/>
      </w:pPr>
      <w:rPr>
        <w:rFonts w:ascii="Arial" w:hAnsi="Arial" w:hint="default"/>
      </w:rPr>
    </w:lvl>
    <w:lvl w:ilvl="8" w:tplc="5F5E332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9F4711"/>
    <w:multiLevelType w:val="hybridMultilevel"/>
    <w:tmpl w:val="3AB22AAA"/>
    <w:lvl w:ilvl="0" w:tplc="3F9257F6">
      <w:start w:val="1"/>
      <w:numFmt w:val="bullet"/>
      <w:lvlText w:val="•"/>
      <w:lvlJc w:val="left"/>
      <w:pPr>
        <w:tabs>
          <w:tab w:val="num" w:pos="720"/>
        </w:tabs>
        <w:ind w:left="720" w:hanging="360"/>
      </w:pPr>
      <w:rPr>
        <w:rFonts w:ascii="Arial" w:hAnsi="Arial" w:hint="default"/>
      </w:rPr>
    </w:lvl>
    <w:lvl w:ilvl="1" w:tplc="E07818BC">
      <w:numFmt w:val="bullet"/>
      <w:lvlText w:val="•"/>
      <w:lvlJc w:val="left"/>
      <w:pPr>
        <w:tabs>
          <w:tab w:val="num" w:pos="1440"/>
        </w:tabs>
        <w:ind w:left="1440" w:hanging="360"/>
      </w:pPr>
      <w:rPr>
        <w:rFonts w:ascii="Arial" w:hAnsi="Arial" w:hint="default"/>
      </w:rPr>
    </w:lvl>
    <w:lvl w:ilvl="2" w:tplc="46E6315E">
      <w:numFmt w:val="bullet"/>
      <w:lvlText w:val="•"/>
      <w:lvlJc w:val="left"/>
      <w:pPr>
        <w:tabs>
          <w:tab w:val="num" w:pos="2160"/>
        </w:tabs>
        <w:ind w:left="2160" w:hanging="360"/>
      </w:pPr>
      <w:rPr>
        <w:rFonts w:ascii="Arial" w:hAnsi="Arial" w:hint="default"/>
      </w:rPr>
    </w:lvl>
    <w:lvl w:ilvl="3" w:tplc="5AD8A442" w:tentative="1">
      <w:start w:val="1"/>
      <w:numFmt w:val="bullet"/>
      <w:lvlText w:val="•"/>
      <w:lvlJc w:val="left"/>
      <w:pPr>
        <w:tabs>
          <w:tab w:val="num" w:pos="2880"/>
        </w:tabs>
        <w:ind w:left="2880" w:hanging="360"/>
      </w:pPr>
      <w:rPr>
        <w:rFonts w:ascii="Arial" w:hAnsi="Arial" w:hint="default"/>
      </w:rPr>
    </w:lvl>
    <w:lvl w:ilvl="4" w:tplc="EB56E96A" w:tentative="1">
      <w:start w:val="1"/>
      <w:numFmt w:val="bullet"/>
      <w:lvlText w:val="•"/>
      <w:lvlJc w:val="left"/>
      <w:pPr>
        <w:tabs>
          <w:tab w:val="num" w:pos="3600"/>
        </w:tabs>
        <w:ind w:left="3600" w:hanging="360"/>
      </w:pPr>
      <w:rPr>
        <w:rFonts w:ascii="Arial" w:hAnsi="Arial" w:hint="default"/>
      </w:rPr>
    </w:lvl>
    <w:lvl w:ilvl="5" w:tplc="0D641A7E" w:tentative="1">
      <w:start w:val="1"/>
      <w:numFmt w:val="bullet"/>
      <w:lvlText w:val="•"/>
      <w:lvlJc w:val="left"/>
      <w:pPr>
        <w:tabs>
          <w:tab w:val="num" w:pos="4320"/>
        </w:tabs>
        <w:ind w:left="4320" w:hanging="360"/>
      </w:pPr>
      <w:rPr>
        <w:rFonts w:ascii="Arial" w:hAnsi="Arial" w:hint="default"/>
      </w:rPr>
    </w:lvl>
    <w:lvl w:ilvl="6" w:tplc="BED22974" w:tentative="1">
      <w:start w:val="1"/>
      <w:numFmt w:val="bullet"/>
      <w:lvlText w:val="•"/>
      <w:lvlJc w:val="left"/>
      <w:pPr>
        <w:tabs>
          <w:tab w:val="num" w:pos="5040"/>
        </w:tabs>
        <w:ind w:left="5040" w:hanging="360"/>
      </w:pPr>
      <w:rPr>
        <w:rFonts w:ascii="Arial" w:hAnsi="Arial" w:hint="default"/>
      </w:rPr>
    </w:lvl>
    <w:lvl w:ilvl="7" w:tplc="CC92BA7E" w:tentative="1">
      <w:start w:val="1"/>
      <w:numFmt w:val="bullet"/>
      <w:lvlText w:val="•"/>
      <w:lvlJc w:val="left"/>
      <w:pPr>
        <w:tabs>
          <w:tab w:val="num" w:pos="5760"/>
        </w:tabs>
        <w:ind w:left="5760" w:hanging="360"/>
      </w:pPr>
      <w:rPr>
        <w:rFonts w:ascii="Arial" w:hAnsi="Arial" w:hint="default"/>
      </w:rPr>
    </w:lvl>
    <w:lvl w:ilvl="8" w:tplc="2B42F9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9"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F72592"/>
    <w:multiLevelType w:val="hybridMultilevel"/>
    <w:tmpl w:val="59B4A78A"/>
    <w:lvl w:ilvl="0" w:tplc="C35073BE">
      <w:start w:val="1"/>
      <w:numFmt w:val="bullet"/>
      <w:lvlText w:val="•"/>
      <w:lvlJc w:val="left"/>
      <w:pPr>
        <w:tabs>
          <w:tab w:val="num" w:pos="720"/>
        </w:tabs>
        <w:ind w:left="720" w:hanging="360"/>
      </w:pPr>
      <w:rPr>
        <w:rFonts w:ascii="Arial" w:hAnsi="Arial" w:hint="default"/>
      </w:rPr>
    </w:lvl>
    <w:lvl w:ilvl="1" w:tplc="CCA8D0DE">
      <w:numFmt w:val="none"/>
      <w:lvlText w:val=""/>
      <w:lvlJc w:val="left"/>
      <w:pPr>
        <w:tabs>
          <w:tab w:val="num" w:pos="360"/>
        </w:tabs>
      </w:pPr>
    </w:lvl>
    <w:lvl w:ilvl="2" w:tplc="92EABF52">
      <w:start w:val="1"/>
      <w:numFmt w:val="bullet"/>
      <w:lvlText w:val="•"/>
      <w:lvlJc w:val="left"/>
      <w:pPr>
        <w:tabs>
          <w:tab w:val="num" w:pos="2160"/>
        </w:tabs>
        <w:ind w:left="2160" w:hanging="360"/>
      </w:pPr>
      <w:rPr>
        <w:rFonts w:ascii="Arial" w:hAnsi="Arial" w:hint="default"/>
      </w:rPr>
    </w:lvl>
    <w:lvl w:ilvl="3" w:tplc="606805E6">
      <w:numFmt w:val="none"/>
      <w:lvlText w:val=""/>
      <w:lvlJc w:val="left"/>
      <w:pPr>
        <w:tabs>
          <w:tab w:val="num" w:pos="360"/>
        </w:tabs>
      </w:pPr>
    </w:lvl>
    <w:lvl w:ilvl="4" w:tplc="9B348D90" w:tentative="1">
      <w:start w:val="1"/>
      <w:numFmt w:val="bullet"/>
      <w:lvlText w:val="•"/>
      <w:lvlJc w:val="left"/>
      <w:pPr>
        <w:tabs>
          <w:tab w:val="num" w:pos="3600"/>
        </w:tabs>
        <w:ind w:left="3600" w:hanging="360"/>
      </w:pPr>
      <w:rPr>
        <w:rFonts w:ascii="Arial" w:hAnsi="Arial" w:hint="default"/>
      </w:rPr>
    </w:lvl>
    <w:lvl w:ilvl="5" w:tplc="42008E20" w:tentative="1">
      <w:start w:val="1"/>
      <w:numFmt w:val="bullet"/>
      <w:lvlText w:val="•"/>
      <w:lvlJc w:val="left"/>
      <w:pPr>
        <w:tabs>
          <w:tab w:val="num" w:pos="4320"/>
        </w:tabs>
        <w:ind w:left="4320" w:hanging="360"/>
      </w:pPr>
      <w:rPr>
        <w:rFonts w:ascii="Arial" w:hAnsi="Arial" w:hint="default"/>
      </w:rPr>
    </w:lvl>
    <w:lvl w:ilvl="6" w:tplc="FB64CC3A" w:tentative="1">
      <w:start w:val="1"/>
      <w:numFmt w:val="bullet"/>
      <w:lvlText w:val="•"/>
      <w:lvlJc w:val="left"/>
      <w:pPr>
        <w:tabs>
          <w:tab w:val="num" w:pos="5040"/>
        </w:tabs>
        <w:ind w:left="5040" w:hanging="360"/>
      </w:pPr>
      <w:rPr>
        <w:rFonts w:ascii="Arial" w:hAnsi="Arial" w:hint="default"/>
      </w:rPr>
    </w:lvl>
    <w:lvl w:ilvl="7" w:tplc="5E50BF5C" w:tentative="1">
      <w:start w:val="1"/>
      <w:numFmt w:val="bullet"/>
      <w:lvlText w:val="•"/>
      <w:lvlJc w:val="left"/>
      <w:pPr>
        <w:tabs>
          <w:tab w:val="num" w:pos="5760"/>
        </w:tabs>
        <w:ind w:left="5760" w:hanging="360"/>
      </w:pPr>
      <w:rPr>
        <w:rFonts w:ascii="Arial" w:hAnsi="Arial" w:hint="default"/>
      </w:rPr>
    </w:lvl>
    <w:lvl w:ilvl="8" w:tplc="A3EC193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250A15"/>
    <w:multiLevelType w:val="hybridMultilevel"/>
    <w:tmpl w:val="E0E651FA"/>
    <w:lvl w:ilvl="0" w:tplc="3BDCF4EC">
      <w:start w:val="1"/>
      <w:numFmt w:val="bullet"/>
      <w:lvlText w:val="•"/>
      <w:lvlJc w:val="left"/>
      <w:pPr>
        <w:tabs>
          <w:tab w:val="num" w:pos="720"/>
        </w:tabs>
        <w:ind w:left="720" w:hanging="360"/>
      </w:pPr>
      <w:rPr>
        <w:rFonts w:ascii="Arial" w:hAnsi="Arial" w:hint="default"/>
      </w:rPr>
    </w:lvl>
    <w:lvl w:ilvl="1" w:tplc="CA7E014E" w:tentative="1">
      <w:start w:val="1"/>
      <w:numFmt w:val="bullet"/>
      <w:lvlText w:val="•"/>
      <w:lvlJc w:val="left"/>
      <w:pPr>
        <w:tabs>
          <w:tab w:val="num" w:pos="1440"/>
        </w:tabs>
        <w:ind w:left="1440" w:hanging="360"/>
      </w:pPr>
      <w:rPr>
        <w:rFonts w:ascii="Arial" w:hAnsi="Arial" w:hint="default"/>
      </w:rPr>
    </w:lvl>
    <w:lvl w:ilvl="2" w:tplc="8AF8D87C" w:tentative="1">
      <w:start w:val="1"/>
      <w:numFmt w:val="bullet"/>
      <w:lvlText w:val="•"/>
      <w:lvlJc w:val="left"/>
      <w:pPr>
        <w:tabs>
          <w:tab w:val="num" w:pos="2160"/>
        </w:tabs>
        <w:ind w:left="2160" w:hanging="360"/>
      </w:pPr>
      <w:rPr>
        <w:rFonts w:ascii="Arial" w:hAnsi="Arial" w:hint="default"/>
      </w:rPr>
    </w:lvl>
    <w:lvl w:ilvl="3" w:tplc="A97435DA" w:tentative="1">
      <w:start w:val="1"/>
      <w:numFmt w:val="bullet"/>
      <w:lvlText w:val="•"/>
      <w:lvlJc w:val="left"/>
      <w:pPr>
        <w:tabs>
          <w:tab w:val="num" w:pos="2880"/>
        </w:tabs>
        <w:ind w:left="2880" w:hanging="360"/>
      </w:pPr>
      <w:rPr>
        <w:rFonts w:ascii="Arial" w:hAnsi="Arial" w:hint="default"/>
      </w:rPr>
    </w:lvl>
    <w:lvl w:ilvl="4" w:tplc="69B81004" w:tentative="1">
      <w:start w:val="1"/>
      <w:numFmt w:val="bullet"/>
      <w:lvlText w:val="•"/>
      <w:lvlJc w:val="left"/>
      <w:pPr>
        <w:tabs>
          <w:tab w:val="num" w:pos="3600"/>
        </w:tabs>
        <w:ind w:left="3600" w:hanging="360"/>
      </w:pPr>
      <w:rPr>
        <w:rFonts w:ascii="Arial" w:hAnsi="Arial" w:hint="default"/>
      </w:rPr>
    </w:lvl>
    <w:lvl w:ilvl="5" w:tplc="BFF008A2" w:tentative="1">
      <w:start w:val="1"/>
      <w:numFmt w:val="bullet"/>
      <w:lvlText w:val="•"/>
      <w:lvlJc w:val="left"/>
      <w:pPr>
        <w:tabs>
          <w:tab w:val="num" w:pos="4320"/>
        </w:tabs>
        <w:ind w:left="4320" w:hanging="360"/>
      </w:pPr>
      <w:rPr>
        <w:rFonts w:ascii="Arial" w:hAnsi="Arial" w:hint="default"/>
      </w:rPr>
    </w:lvl>
    <w:lvl w:ilvl="6" w:tplc="B3F8BBD8" w:tentative="1">
      <w:start w:val="1"/>
      <w:numFmt w:val="bullet"/>
      <w:lvlText w:val="•"/>
      <w:lvlJc w:val="left"/>
      <w:pPr>
        <w:tabs>
          <w:tab w:val="num" w:pos="5040"/>
        </w:tabs>
        <w:ind w:left="5040" w:hanging="360"/>
      </w:pPr>
      <w:rPr>
        <w:rFonts w:ascii="Arial" w:hAnsi="Arial" w:hint="default"/>
      </w:rPr>
    </w:lvl>
    <w:lvl w:ilvl="7" w:tplc="D9402A9C" w:tentative="1">
      <w:start w:val="1"/>
      <w:numFmt w:val="bullet"/>
      <w:lvlText w:val="•"/>
      <w:lvlJc w:val="left"/>
      <w:pPr>
        <w:tabs>
          <w:tab w:val="num" w:pos="5760"/>
        </w:tabs>
        <w:ind w:left="5760" w:hanging="360"/>
      </w:pPr>
      <w:rPr>
        <w:rFonts w:ascii="Arial" w:hAnsi="Arial" w:hint="default"/>
      </w:rPr>
    </w:lvl>
    <w:lvl w:ilvl="8" w:tplc="F9E8F8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41"/>
  </w:num>
  <w:num w:numId="4">
    <w:abstractNumId w:val="42"/>
  </w:num>
  <w:num w:numId="5">
    <w:abstractNumId w:val="31"/>
  </w:num>
  <w:num w:numId="6">
    <w:abstractNumId w:val="4"/>
  </w:num>
  <w:num w:numId="7">
    <w:abstractNumId w:val="9"/>
  </w:num>
  <w:num w:numId="8">
    <w:abstractNumId w:val="22"/>
  </w:num>
  <w:num w:numId="9">
    <w:abstractNumId w:val="25"/>
  </w:num>
  <w:num w:numId="10">
    <w:abstractNumId w:val="8"/>
  </w:num>
  <w:num w:numId="11">
    <w:abstractNumId w:val="21"/>
  </w:num>
  <w:num w:numId="12">
    <w:abstractNumId w:val="15"/>
  </w:num>
  <w:num w:numId="13">
    <w:abstractNumId w:val="39"/>
  </w:num>
  <w:num w:numId="14">
    <w:abstractNumId w:val="7"/>
  </w:num>
  <w:num w:numId="15">
    <w:abstractNumId w:val="26"/>
  </w:num>
  <w:num w:numId="16">
    <w:abstractNumId w:val="17"/>
  </w:num>
  <w:num w:numId="17">
    <w:abstractNumId w:val="36"/>
  </w:num>
  <w:num w:numId="18">
    <w:abstractNumId w:val="40"/>
  </w:num>
  <w:num w:numId="19">
    <w:abstractNumId w:val="19"/>
  </w:num>
  <w:num w:numId="20">
    <w:abstractNumId w:val="18"/>
  </w:num>
  <w:num w:numId="21">
    <w:abstractNumId w:val="37"/>
  </w:num>
  <w:num w:numId="22">
    <w:abstractNumId w:val="23"/>
  </w:num>
  <w:num w:numId="23">
    <w:abstractNumId w:val="32"/>
  </w:num>
  <w:num w:numId="24">
    <w:abstractNumId w:val="5"/>
  </w:num>
  <w:num w:numId="25">
    <w:abstractNumId w:val="33"/>
  </w:num>
  <w:num w:numId="26">
    <w:abstractNumId w:val="29"/>
  </w:num>
  <w:num w:numId="27">
    <w:abstractNumId w:val="10"/>
  </w:num>
  <w:num w:numId="28">
    <w:abstractNumId w:val="30"/>
  </w:num>
  <w:num w:numId="29">
    <w:abstractNumId w:val="2"/>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
  </w:num>
  <w:num w:numId="32">
    <w:abstractNumId w:val="12"/>
  </w:num>
  <w:num w:numId="33">
    <w:abstractNumId w:val="27"/>
  </w:num>
  <w:num w:numId="34">
    <w:abstractNumId w:val="3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4"/>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1"/>
  </w:num>
  <w:num w:numId="41">
    <w:abstractNumId w:val="38"/>
  </w:num>
  <w:num w:numId="42">
    <w:abstractNumId w:val="14"/>
  </w:num>
  <w:num w:numId="43">
    <w:abstractNumId w:val="20"/>
  </w:num>
  <w:num w:numId="44">
    <w:abstractNumId w:val="1"/>
  </w:num>
  <w:num w:numId="45">
    <w:abstractNumId w:val="34"/>
  </w:num>
  <w:num w:numId="46">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B4B"/>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18FB"/>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46C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5DC6"/>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1F4"/>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471"/>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48E"/>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6AD4"/>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061"/>
    <w:rsid w:val="008E726F"/>
    <w:rsid w:val="008E79CD"/>
    <w:rsid w:val="008E7DBA"/>
    <w:rsid w:val="008F1DD5"/>
    <w:rsid w:val="008F2B18"/>
    <w:rsid w:val="008F2E09"/>
    <w:rsid w:val="008F2E96"/>
    <w:rsid w:val="008F316F"/>
    <w:rsid w:val="008F3493"/>
    <w:rsid w:val="008F3C0D"/>
    <w:rsid w:val="008F4441"/>
    <w:rsid w:val="008F5B85"/>
    <w:rsid w:val="008F68FD"/>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0D65"/>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3FC"/>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45A"/>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6C9F"/>
    <w:rsid w:val="00DB6D92"/>
    <w:rsid w:val="00DB6EE7"/>
    <w:rsid w:val="00DB7520"/>
    <w:rsid w:val="00DC0462"/>
    <w:rsid w:val="00DC0A8A"/>
    <w:rsid w:val="00DC0CBC"/>
    <w:rsid w:val="00DC1800"/>
    <w:rsid w:val="00DC1A2A"/>
    <w:rsid w:val="00DC32FA"/>
    <w:rsid w:val="00DC38F8"/>
    <w:rsid w:val="00DC57BD"/>
    <w:rsid w:val="00DC5EEC"/>
    <w:rsid w:val="00DC64FD"/>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9FF"/>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0B1"/>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1E9"/>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1809333">
      <w:bodyDiv w:val="1"/>
      <w:marLeft w:val="0"/>
      <w:marRight w:val="0"/>
      <w:marTop w:val="0"/>
      <w:marBottom w:val="0"/>
      <w:divBdr>
        <w:top w:val="none" w:sz="0" w:space="0" w:color="auto"/>
        <w:left w:val="none" w:sz="0" w:space="0" w:color="auto"/>
        <w:bottom w:val="none" w:sz="0" w:space="0" w:color="auto"/>
        <w:right w:val="none" w:sz="0" w:space="0" w:color="auto"/>
      </w:divBdr>
      <w:divsChild>
        <w:div w:id="1087968753">
          <w:marLeft w:val="360"/>
          <w:marRight w:val="0"/>
          <w:marTop w:val="200"/>
          <w:marBottom w:val="0"/>
          <w:divBdr>
            <w:top w:val="none" w:sz="0" w:space="0" w:color="auto"/>
            <w:left w:val="none" w:sz="0" w:space="0" w:color="auto"/>
            <w:bottom w:val="none" w:sz="0" w:space="0" w:color="auto"/>
            <w:right w:val="none" w:sz="0" w:space="0" w:color="auto"/>
          </w:divBdr>
        </w:div>
        <w:div w:id="553010160">
          <w:marLeft w:val="1080"/>
          <w:marRight w:val="0"/>
          <w:marTop w:val="100"/>
          <w:marBottom w:val="0"/>
          <w:divBdr>
            <w:top w:val="none" w:sz="0" w:space="0" w:color="auto"/>
            <w:left w:val="none" w:sz="0" w:space="0" w:color="auto"/>
            <w:bottom w:val="none" w:sz="0" w:space="0" w:color="auto"/>
            <w:right w:val="none" w:sz="0" w:space="0" w:color="auto"/>
          </w:divBdr>
        </w:div>
        <w:div w:id="1924532379">
          <w:marLeft w:val="1080"/>
          <w:marRight w:val="0"/>
          <w:marTop w:val="100"/>
          <w:marBottom w:val="0"/>
          <w:divBdr>
            <w:top w:val="none" w:sz="0" w:space="0" w:color="auto"/>
            <w:left w:val="none" w:sz="0" w:space="0" w:color="auto"/>
            <w:bottom w:val="none" w:sz="0" w:space="0" w:color="auto"/>
            <w:right w:val="none" w:sz="0" w:space="0" w:color="auto"/>
          </w:divBdr>
        </w:div>
      </w:divsChild>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05890509">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89587969">
      <w:bodyDiv w:val="1"/>
      <w:marLeft w:val="0"/>
      <w:marRight w:val="0"/>
      <w:marTop w:val="0"/>
      <w:marBottom w:val="0"/>
      <w:divBdr>
        <w:top w:val="none" w:sz="0" w:space="0" w:color="auto"/>
        <w:left w:val="none" w:sz="0" w:space="0" w:color="auto"/>
        <w:bottom w:val="none" w:sz="0" w:space="0" w:color="auto"/>
        <w:right w:val="none" w:sz="0" w:space="0" w:color="auto"/>
      </w:divBdr>
      <w:divsChild>
        <w:div w:id="1552232235">
          <w:marLeft w:val="360"/>
          <w:marRight w:val="0"/>
          <w:marTop w:val="200"/>
          <w:marBottom w:val="0"/>
          <w:divBdr>
            <w:top w:val="none" w:sz="0" w:space="0" w:color="auto"/>
            <w:left w:val="none" w:sz="0" w:space="0" w:color="auto"/>
            <w:bottom w:val="none" w:sz="0" w:space="0" w:color="auto"/>
            <w:right w:val="none" w:sz="0" w:space="0" w:color="auto"/>
          </w:divBdr>
        </w:div>
        <w:div w:id="1296180702">
          <w:marLeft w:val="1080"/>
          <w:marRight w:val="0"/>
          <w:marTop w:val="200"/>
          <w:marBottom w:val="0"/>
          <w:divBdr>
            <w:top w:val="none" w:sz="0" w:space="0" w:color="auto"/>
            <w:left w:val="none" w:sz="0" w:space="0" w:color="auto"/>
            <w:bottom w:val="none" w:sz="0" w:space="0" w:color="auto"/>
            <w:right w:val="none" w:sz="0" w:space="0" w:color="auto"/>
          </w:divBdr>
        </w:div>
        <w:div w:id="501311334">
          <w:marLeft w:val="1080"/>
          <w:marRight w:val="0"/>
          <w:marTop w:val="200"/>
          <w:marBottom w:val="0"/>
          <w:divBdr>
            <w:top w:val="none" w:sz="0" w:space="0" w:color="auto"/>
            <w:left w:val="none" w:sz="0" w:space="0" w:color="auto"/>
            <w:bottom w:val="none" w:sz="0" w:space="0" w:color="auto"/>
            <w:right w:val="none" w:sz="0" w:space="0" w:color="auto"/>
          </w:divBdr>
        </w:div>
        <w:div w:id="2131628091">
          <w:marLeft w:val="360"/>
          <w:marRight w:val="0"/>
          <w:marTop w:val="200"/>
          <w:marBottom w:val="0"/>
          <w:divBdr>
            <w:top w:val="none" w:sz="0" w:space="0" w:color="auto"/>
            <w:left w:val="none" w:sz="0" w:space="0" w:color="auto"/>
            <w:bottom w:val="none" w:sz="0" w:space="0" w:color="auto"/>
            <w:right w:val="none" w:sz="0" w:space="0" w:color="auto"/>
          </w:divBdr>
        </w:div>
        <w:div w:id="1586180856">
          <w:marLeft w:val="1080"/>
          <w:marRight w:val="0"/>
          <w:marTop w:val="100"/>
          <w:marBottom w:val="0"/>
          <w:divBdr>
            <w:top w:val="none" w:sz="0" w:space="0" w:color="auto"/>
            <w:left w:val="none" w:sz="0" w:space="0" w:color="auto"/>
            <w:bottom w:val="none" w:sz="0" w:space="0" w:color="auto"/>
            <w:right w:val="none" w:sz="0" w:space="0" w:color="auto"/>
          </w:divBdr>
        </w:div>
        <w:div w:id="364982516">
          <w:marLeft w:val="1080"/>
          <w:marRight w:val="0"/>
          <w:marTop w:val="100"/>
          <w:marBottom w:val="0"/>
          <w:divBdr>
            <w:top w:val="none" w:sz="0" w:space="0" w:color="auto"/>
            <w:left w:val="none" w:sz="0" w:space="0" w:color="auto"/>
            <w:bottom w:val="none" w:sz="0" w:space="0" w:color="auto"/>
            <w:right w:val="none" w:sz="0" w:space="0" w:color="auto"/>
          </w:divBdr>
        </w:div>
        <w:div w:id="1427117455">
          <w:marLeft w:val="360"/>
          <w:marRight w:val="0"/>
          <w:marTop w:val="200"/>
          <w:marBottom w:val="0"/>
          <w:divBdr>
            <w:top w:val="none" w:sz="0" w:space="0" w:color="auto"/>
            <w:left w:val="none" w:sz="0" w:space="0" w:color="auto"/>
            <w:bottom w:val="none" w:sz="0" w:space="0" w:color="auto"/>
            <w:right w:val="none" w:sz="0" w:space="0" w:color="auto"/>
          </w:divBdr>
        </w:div>
        <w:div w:id="628899380">
          <w:marLeft w:val="1080"/>
          <w:marRight w:val="0"/>
          <w:marTop w:val="100"/>
          <w:marBottom w:val="0"/>
          <w:divBdr>
            <w:top w:val="none" w:sz="0" w:space="0" w:color="auto"/>
            <w:left w:val="none" w:sz="0" w:space="0" w:color="auto"/>
            <w:bottom w:val="none" w:sz="0" w:space="0" w:color="auto"/>
            <w:right w:val="none" w:sz="0" w:space="0" w:color="auto"/>
          </w:divBdr>
        </w:div>
        <w:div w:id="277761952">
          <w:marLeft w:val="1080"/>
          <w:marRight w:val="0"/>
          <w:marTop w:val="10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3</Pages>
  <Words>1639</Words>
  <Characters>9346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26</cp:revision>
  <cp:lastPrinted>2009-04-22T01:01:00Z</cp:lastPrinted>
  <dcterms:created xsi:type="dcterms:W3CDTF">2020-08-07T11:02:00Z</dcterms:created>
  <dcterms:modified xsi:type="dcterms:W3CDTF">2021-08-06T13:23:00Z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